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1709ED">
      <w:pPr>
        <w:ind w:left="0" w:leftChars="0" w:firstLine="0" w:firstLineChars="0"/>
        <w:jc w:val="both"/>
        <w:rPr>
          <w:rFonts w:hint="eastAsia"/>
        </w:rPr>
      </w:pPr>
      <w:r>
        <w:rPr>
          <w:rFonts w:hint="eastAsia"/>
          <w:b/>
          <w:bCs/>
        </w:rPr>
        <w:t>附件一：</w:t>
      </w:r>
      <w:bookmarkStart w:id="0" w:name="OLE_LINK17"/>
      <w:r>
        <w:rPr>
          <w:rFonts w:hint="eastAsia"/>
          <w:b/>
          <w:bCs/>
        </w:rPr>
        <w:t>技术服务需求说明</w:t>
      </w:r>
      <w:bookmarkEnd w:id="0"/>
    </w:p>
    <w:p w14:paraId="6D2BA513">
      <w:pPr>
        <w:rPr>
          <w:rFonts w:hint="eastAsia"/>
        </w:rPr>
      </w:pPr>
      <w:r>
        <w:rPr>
          <w:rFonts w:hint="eastAsia"/>
        </w:rPr>
        <w:t>投标人所投内容必须满足以下要求，不得有负偏离。</w:t>
      </w:r>
    </w:p>
    <w:p w14:paraId="14F9A4C7">
      <w:pPr>
        <w:pStyle w:val="3"/>
        <w:numPr>
          <w:ilvl w:val="0"/>
          <w:numId w:val="1"/>
        </w:numPr>
        <w:bidi w:val="0"/>
        <w:ind w:left="0" w:leftChars="0" w:firstLine="320" w:firstLineChars="0"/>
        <w:rPr>
          <w:rFonts w:hint="eastAsia"/>
        </w:rPr>
      </w:pPr>
      <w:r>
        <w:rPr>
          <w:rFonts w:hint="eastAsia"/>
        </w:rPr>
        <w:t>项目技术要求</w:t>
      </w:r>
    </w:p>
    <w:p w14:paraId="7A2D379F">
      <w:pPr>
        <w:pStyle w:val="4"/>
        <w:bidi w:val="0"/>
        <w:rPr>
          <w:rFonts w:hint="eastAsia"/>
        </w:rPr>
      </w:pPr>
      <w:r>
        <w:rPr>
          <w:rFonts w:hint="eastAsia"/>
        </w:rPr>
        <w:t>（一）采购项目一览表</w:t>
      </w:r>
    </w:p>
    <w:tbl>
      <w:tblPr>
        <w:tblStyle w:val="7"/>
        <w:tblW w:w="91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2206"/>
        <w:gridCol w:w="2460"/>
        <w:gridCol w:w="3563"/>
      </w:tblGrid>
      <w:tr w14:paraId="5CE37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950" w:type="dxa"/>
            <w:vAlign w:val="center"/>
          </w:tcPr>
          <w:p w14:paraId="38D948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2206" w:type="dxa"/>
            <w:vAlign w:val="center"/>
          </w:tcPr>
          <w:p w14:paraId="308FFF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项 目 名 称</w:t>
            </w:r>
          </w:p>
        </w:tc>
        <w:tc>
          <w:tcPr>
            <w:tcW w:w="2460" w:type="dxa"/>
            <w:vAlign w:val="center"/>
          </w:tcPr>
          <w:p w14:paraId="4077D1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服务内容</w:t>
            </w:r>
          </w:p>
        </w:tc>
        <w:tc>
          <w:tcPr>
            <w:tcW w:w="3563" w:type="dxa"/>
            <w:vAlign w:val="center"/>
          </w:tcPr>
          <w:p w14:paraId="304684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服务期</w:t>
            </w:r>
          </w:p>
        </w:tc>
      </w:tr>
      <w:tr w14:paraId="0B456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3" w:hRule="atLeast"/>
          <w:jc w:val="center"/>
        </w:trPr>
        <w:tc>
          <w:tcPr>
            <w:tcW w:w="950" w:type="dxa"/>
            <w:vAlign w:val="center"/>
          </w:tcPr>
          <w:p w14:paraId="7633C1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206" w:type="dxa"/>
            <w:vAlign w:val="center"/>
          </w:tcPr>
          <w:p w14:paraId="6C629D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宜兴市人才补贴网上申报平台</w:t>
            </w:r>
            <w:r>
              <w:rPr>
                <w:rFonts w:hint="eastAsia"/>
                <w:lang w:val="en-US" w:eastAsia="zh-CN"/>
              </w:rPr>
              <w:t>改版</w:t>
            </w:r>
            <w:r>
              <w:rPr>
                <w:rFonts w:hint="eastAsia"/>
              </w:rPr>
              <w:t>与运维服务</w:t>
            </w:r>
          </w:p>
        </w:tc>
        <w:tc>
          <w:tcPr>
            <w:tcW w:w="2460" w:type="dxa"/>
            <w:vAlign w:val="center"/>
          </w:tcPr>
          <w:p w14:paraId="0DD83A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改版</w:t>
            </w:r>
            <w:r>
              <w:rPr>
                <w:rFonts w:hint="eastAsia"/>
              </w:rPr>
              <w:t>包含注册登录、单位登记、人才登记、补贴申领、审核汇总、数据提取等功能的网上申报平台，预留小程序与线上平台端口，并提供系统日常运行维护服务，确保平台安全稳定无事故</w:t>
            </w:r>
          </w:p>
        </w:tc>
        <w:tc>
          <w:tcPr>
            <w:tcW w:w="3563" w:type="dxa"/>
            <w:vAlign w:val="center"/>
          </w:tcPr>
          <w:p w14:paraId="3DF76D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合同签订生效之日起壹年</w:t>
            </w:r>
          </w:p>
        </w:tc>
      </w:tr>
    </w:tbl>
    <w:p w14:paraId="1ED4F839">
      <w:pPr>
        <w:pStyle w:val="4"/>
        <w:bidi w:val="0"/>
        <w:rPr>
          <w:rFonts w:hint="eastAsia"/>
        </w:rPr>
      </w:pPr>
      <w:r>
        <w:rPr>
          <w:rFonts w:hint="eastAsia"/>
        </w:rPr>
        <w:t>（二）技术要求</w:t>
      </w:r>
    </w:p>
    <w:p w14:paraId="25CFE10A">
      <w:pPr>
        <w:numPr>
          <w:ilvl w:val="0"/>
          <w:numId w:val="2"/>
        </w:numPr>
        <w:ind w:left="1065" w:leftChars="0" w:hanging="425" w:firstLineChars="0"/>
        <w:rPr>
          <w:rFonts w:hint="eastAsia"/>
        </w:rPr>
      </w:pPr>
      <w:bookmarkStart w:id="1" w:name="OLE_LINK1"/>
      <w:r>
        <w:rPr>
          <w:rFonts w:hint="eastAsia"/>
        </w:rPr>
        <w:t>平台功能</w:t>
      </w:r>
      <w:r>
        <w:rPr>
          <w:rFonts w:hint="eastAsia"/>
          <w:lang w:val="en-US" w:eastAsia="zh-CN"/>
        </w:rPr>
        <w:t>改版</w:t>
      </w:r>
      <w:r>
        <w:rPr>
          <w:rFonts w:hint="eastAsia"/>
        </w:rPr>
        <w:t>要求</w:t>
      </w:r>
    </w:p>
    <w:bookmarkEnd w:id="1"/>
    <w:p w14:paraId="7F5A432B">
      <w:pPr>
        <w:rPr>
          <w:rFonts w:hint="eastAsia"/>
        </w:rPr>
      </w:pPr>
      <w:r>
        <w:rPr>
          <w:rFonts w:hint="eastAsia"/>
        </w:rPr>
        <w:t>平台应包含但不限于以下功能模块，并预留小程序及线上平台接口：</w:t>
      </w:r>
    </w:p>
    <w:tbl>
      <w:tblPr>
        <w:tblStyle w:val="7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2580"/>
        <w:gridCol w:w="4390"/>
      </w:tblGrid>
      <w:tr w14:paraId="5AD47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4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2BE66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320" w:firstLineChars="10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2" w:name="OLE_LINK2"/>
            <w:r>
              <w:rPr>
                <w:rFonts w:hint="eastAsia"/>
              </w:rPr>
              <w:t>序号</w:t>
            </w:r>
            <w:bookmarkEnd w:id="2"/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 w14:paraId="413585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640" w:firstLineChars="20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功能模块</w:t>
            </w:r>
          </w:p>
        </w:tc>
        <w:tc>
          <w:tcPr>
            <w:tcW w:w="43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52A98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</w:rPr>
              <w:t>关键要求/备注</w:t>
            </w:r>
          </w:p>
        </w:tc>
      </w:tr>
      <w:tr w14:paraId="6AF29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A07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bookmarkStart w:id="3" w:name="OLE_LINK3" w:colFirst="0" w:colLast="1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24A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△注册登录</w:t>
            </w:r>
          </w:p>
        </w:tc>
        <w:tc>
          <w:tcPr>
            <w:tcW w:w="4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EAC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支持个人及单位用户注册、身份认证、权限分级</w:t>
            </w:r>
          </w:p>
        </w:tc>
      </w:tr>
      <w:bookmarkEnd w:id="3"/>
      <w:tr w14:paraId="3DCEC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59B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EE4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△单位登记</w:t>
            </w:r>
          </w:p>
        </w:tc>
        <w:tc>
          <w:tcPr>
            <w:tcW w:w="4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1E18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实现单位基本信息录入、审核及管理</w:t>
            </w:r>
          </w:p>
        </w:tc>
      </w:tr>
      <w:tr w14:paraId="4887F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3BA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D57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△人才登记</w:t>
            </w:r>
          </w:p>
        </w:tc>
        <w:tc>
          <w:tcPr>
            <w:tcW w:w="4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177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人才信息填报、资料上传、状态查询</w:t>
            </w:r>
          </w:p>
        </w:tc>
      </w:tr>
      <w:tr w14:paraId="256C3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D5C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A33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△补贴申领</w:t>
            </w:r>
          </w:p>
        </w:tc>
        <w:tc>
          <w:tcPr>
            <w:tcW w:w="4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E397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支持租房、购房生活、实习、薪酬等各分项补贴在线申报</w:t>
            </w:r>
          </w:p>
        </w:tc>
      </w:tr>
      <w:tr w14:paraId="670B6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6670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0CE5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△审核汇总</w:t>
            </w:r>
          </w:p>
        </w:tc>
        <w:tc>
          <w:tcPr>
            <w:tcW w:w="4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9BD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实现多级审核流程，支持审核记录汇总与导出</w:t>
            </w:r>
          </w:p>
        </w:tc>
      </w:tr>
      <w:tr w14:paraId="29805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B71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9FFC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△数据提取</w:t>
            </w:r>
          </w:p>
        </w:tc>
        <w:tc>
          <w:tcPr>
            <w:tcW w:w="43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BCEB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可按权限、时间段、补贴类型等条件查询和导出数据</w:t>
            </w:r>
          </w:p>
        </w:tc>
      </w:tr>
      <w:tr w14:paraId="4F781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E8D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7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600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系统接口预留</w:t>
            </w:r>
          </w:p>
        </w:tc>
        <w:tc>
          <w:tcPr>
            <w:tcW w:w="4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0FB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预留小程序及Web端接口，支持后续功能扩展</w:t>
            </w:r>
          </w:p>
        </w:tc>
      </w:tr>
    </w:tbl>
    <w:p w14:paraId="0B15A75E">
      <w:pPr>
        <w:rPr>
          <w:rFonts w:hint="eastAsia"/>
        </w:rPr>
      </w:pPr>
      <w:r>
        <w:rPr>
          <w:rFonts w:hint="eastAsia"/>
          <w:b/>
          <w:bCs/>
        </w:rPr>
        <w:t>△ 为核心功能模块，需确保功能完整、流程顺畅、符合政策要求。</w:t>
      </w:r>
    </w:p>
    <w:p w14:paraId="63093AF0">
      <w:pPr>
        <w:numPr>
          <w:ilvl w:val="0"/>
          <w:numId w:val="2"/>
        </w:numPr>
        <w:ind w:left="1065" w:leftChars="0" w:hanging="425" w:firstLineChars="0"/>
        <w:rPr>
          <w:rFonts w:hint="eastAsia"/>
        </w:rPr>
      </w:pPr>
      <w:bookmarkStart w:id="4" w:name="OLE_LINK4"/>
      <w:r>
        <w:rPr>
          <w:rFonts w:hint="eastAsia"/>
        </w:rPr>
        <w:t>系统运维服务要求</w:t>
      </w:r>
    </w:p>
    <w:bookmarkEnd w:id="4"/>
    <w:p w14:paraId="7F0C6B7B">
      <w:pPr>
        <w:ind w:firstLine="960" w:firstLineChars="300"/>
        <w:rPr>
          <w:rFonts w:hint="eastAsia"/>
        </w:rPr>
      </w:pPr>
      <w:r>
        <w:rPr>
          <w:rFonts w:hint="eastAsia"/>
        </w:rPr>
        <w:t xml:space="preserve">2.1 </w:t>
      </w:r>
      <w:bookmarkStart w:id="5" w:name="OLE_LINK5"/>
      <w:r>
        <w:rPr>
          <w:rFonts w:hint="eastAsia"/>
        </w:rPr>
        <w:t>日常运行维护：提供系统运行监控、漏洞修复、数据备份、性能优</w:t>
      </w:r>
      <w:bookmarkStart w:id="6" w:name="OLE_LINK8"/>
      <w:r>
        <w:rPr>
          <w:rFonts w:hint="eastAsia"/>
        </w:rPr>
        <w:t>化等服</w:t>
      </w:r>
      <w:bookmarkEnd w:id="6"/>
      <w:r>
        <w:rPr>
          <w:rFonts w:hint="eastAsia"/>
        </w:rPr>
        <w:t>务，确保平台全年安全稳定运行，无重大事故。</w:t>
      </w:r>
      <w:bookmarkEnd w:id="5"/>
    </w:p>
    <w:p w14:paraId="00FF7188">
      <w:pPr>
        <w:keepNext w:val="0"/>
        <w:keepLines w:val="0"/>
        <w:widowControl/>
        <w:suppressLineNumbers w:val="0"/>
        <w:ind w:firstLine="960" w:firstLineChars="300"/>
        <w:jc w:val="left"/>
        <w:rPr>
          <w:rFonts w:hint="eastAsia"/>
          <w:lang w:val="en-US" w:eastAsia="zh-CN"/>
        </w:rPr>
      </w:pPr>
      <w:r>
        <w:rPr>
          <w:rFonts w:hint="eastAsia"/>
        </w:rPr>
        <w:t xml:space="preserve">2.2 </w:t>
      </w:r>
      <w:bookmarkStart w:id="7" w:name="OLE_LINK6"/>
      <w:bookmarkStart w:id="8" w:name="OLE_LINK7"/>
      <w:r>
        <w:rPr>
          <w:rFonts w:hint="eastAsia"/>
          <w:lang w:val="en-US" w:eastAsia="zh-CN"/>
        </w:rPr>
        <w:t>系统更新与支持：根据政策变动或业务需求，及时完成系统功能调整与更新。</w:t>
      </w:r>
    </w:p>
    <w:bookmarkEnd w:id="7"/>
    <w:bookmarkEnd w:id="8"/>
    <w:p w14:paraId="518A3904">
      <w:pPr>
        <w:numPr>
          <w:ilvl w:val="0"/>
          <w:numId w:val="2"/>
        </w:numPr>
        <w:ind w:left="1065" w:leftChars="0" w:hanging="425" w:firstLineChars="0"/>
        <w:rPr>
          <w:rFonts w:hint="eastAsia"/>
        </w:rPr>
      </w:pPr>
      <w:bookmarkStart w:id="9" w:name="OLE_LINK9"/>
      <w:r>
        <w:rPr>
          <w:rFonts w:hint="eastAsia"/>
        </w:rPr>
        <w:t>服务技术要求</w:t>
      </w:r>
    </w:p>
    <w:p w14:paraId="61298FE7">
      <w:pPr>
        <w:widowControl w:val="0"/>
        <w:numPr>
          <w:ilvl w:val="0"/>
          <w:numId w:val="0"/>
        </w:numPr>
        <w:spacing w:line="560" w:lineRule="exact"/>
        <w:ind w:firstLine="960" w:firstLineChars="300"/>
        <w:jc w:val="left"/>
        <w:rPr>
          <w:rFonts w:hint="eastAsia"/>
        </w:rPr>
      </w:pPr>
      <w:r>
        <w:rPr>
          <w:rFonts w:hint="eastAsia"/>
        </w:rPr>
        <w:t>3.1 服务响应与处理</w:t>
      </w:r>
    </w:p>
    <w:p w14:paraId="70038F1A">
      <w:pPr>
        <w:widowControl w:val="0"/>
        <w:numPr>
          <w:ilvl w:val="0"/>
          <w:numId w:val="3"/>
        </w:numPr>
        <w:spacing w:line="560" w:lineRule="exact"/>
        <w:ind w:left="1380" w:leftChars="0" w:hanging="420" w:firstLineChars="0"/>
        <w:jc w:val="left"/>
        <w:rPr>
          <w:rFonts w:hint="eastAsia"/>
        </w:rPr>
      </w:pPr>
      <w:r>
        <w:rPr>
          <w:rFonts w:hint="eastAsia"/>
        </w:rPr>
        <w:t>响应时间：接到甲方故障报修通知后，乙方应在30分钟内响应，2小时内提出解决方案。</w:t>
      </w:r>
    </w:p>
    <w:p w14:paraId="33095472">
      <w:pPr>
        <w:widowControl w:val="0"/>
        <w:numPr>
          <w:ilvl w:val="0"/>
          <w:numId w:val="3"/>
        </w:numPr>
        <w:spacing w:line="560" w:lineRule="exact"/>
        <w:ind w:left="1380" w:leftChars="0" w:hanging="420" w:firstLineChars="0"/>
        <w:jc w:val="left"/>
        <w:rPr>
          <w:rFonts w:hint="eastAsia"/>
        </w:rPr>
      </w:pPr>
      <w:r>
        <w:rPr>
          <w:rFonts w:hint="eastAsia"/>
        </w:rPr>
        <w:t>处理时限：一般系统故障应在4小时内解决；重大故障应在24小时内修复；如需系统升级或调整，需提前与甲方协商确定实施计划。</w:t>
      </w:r>
    </w:p>
    <w:p w14:paraId="6F59C3EF">
      <w:pPr>
        <w:widowControl w:val="0"/>
        <w:numPr>
          <w:ilvl w:val="0"/>
          <w:numId w:val="0"/>
        </w:numPr>
        <w:spacing w:line="560" w:lineRule="exact"/>
        <w:ind w:firstLine="960" w:firstLineChars="300"/>
        <w:jc w:val="left"/>
        <w:rPr>
          <w:rFonts w:hint="eastAsia"/>
        </w:rPr>
      </w:pPr>
      <w:r>
        <w:rPr>
          <w:rFonts w:hint="eastAsia"/>
        </w:rPr>
        <w:t>3.2 服务方式</w:t>
      </w:r>
    </w:p>
    <w:p w14:paraId="283CD99B">
      <w:pPr>
        <w:widowControl w:val="0"/>
        <w:numPr>
          <w:ilvl w:val="0"/>
          <w:numId w:val="4"/>
        </w:numPr>
        <w:spacing w:line="560" w:lineRule="exact"/>
        <w:ind w:left="1380" w:leftChars="0" w:hanging="420" w:firstLineChars="0"/>
        <w:jc w:val="left"/>
        <w:rPr>
          <w:rFonts w:hint="eastAsia"/>
        </w:rPr>
      </w:pPr>
      <w:r>
        <w:rPr>
          <w:rFonts w:hint="eastAsia"/>
        </w:rPr>
        <w:t>远程技术支持：提供7×24小时热线及在线支持。</w:t>
      </w:r>
    </w:p>
    <w:p w14:paraId="5FCACE34">
      <w:pPr>
        <w:widowControl w:val="0"/>
        <w:numPr>
          <w:ilvl w:val="0"/>
          <w:numId w:val="4"/>
        </w:numPr>
        <w:spacing w:line="560" w:lineRule="exact"/>
        <w:ind w:left="1380" w:leftChars="0" w:hanging="420" w:firstLineChars="0"/>
        <w:jc w:val="left"/>
        <w:rPr>
          <w:rFonts w:hint="eastAsia"/>
        </w:rPr>
      </w:pPr>
      <w:r>
        <w:rPr>
          <w:rFonts w:hint="eastAsia"/>
        </w:rPr>
        <w:t>现场服务：对无法远程解决的系统问题，提供上门服务。</w:t>
      </w:r>
    </w:p>
    <w:p w14:paraId="64D94D70">
      <w:pPr>
        <w:widowControl w:val="0"/>
        <w:numPr>
          <w:ilvl w:val="0"/>
          <w:numId w:val="4"/>
        </w:numPr>
        <w:spacing w:line="560" w:lineRule="exact"/>
        <w:ind w:left="1380" w:leftChars="0" w:hanging="420" w:firstLineChars="0"/>
        <w:jc w:val="left"/>
        <w:rPr>
          <w:rFonts w:hint="eastAsia"/>
        </w:rPr>
      </w:pPr>
      <w:r>
        <w:rPr>
          <w:rFonts w:hint="eastAsia"/>
        </w:rPr>
        <w:t>定期巡检：每季度至少开</w:t>
      </w:r>
      <w:bookmarkStart w:id="10" w:name="OLE_LINK16"/>
      <w:r>
        <w:rPr>
          <w:rFonts w:hint="eastAsia"/>
        </w:rPr>
        <w:t>展一次系统全面巡检，包括安全性、稳定性、性能等方面的</w:t>
      </w:r>
      <w:bookmarkEnd w:id="10"/>
      <w:r>
        <w:rPr>
          <w:rFonts w:hint="eastAsia"/>
        </w:rPr>
        <w:t>检查与优化。</w:t>
      </w:r>
    </w:p>
    <w:bookmarkEnd w:id="9"/>
    <w:p w14:paraId="49F748B1">
      <w:pPr>
        <w:pStyle w:val="3"/>
        <w:numPr>
          <w:ilvl w:val="0"/>
          <w:numId w:val="1"/>
        </w:numPr>
        <w:bidi w:val="0"/>
        <w:ind w:left="0" w:leftChars="0" w:firstLine="320" w:firstLineChars="0"/>
        <w:rPr>
          <w:rFonts w:hint="eastAsia"/>
        </w:rPr>
      </w:pPr>
      <w:r>
        <w:rPr>
          <w:rFonts w:hint="eastAsia"/>
        </w:rPr>
        <w:t>服务及商务要求</w:t>
      </w:r>
    </w:p>
    <w:p w14:paraId="0CC14055">
      <w:pPr>
        <w:rPr>
          <w:rFonts w:hint="eastAsia"/>
        </w:rPr>
      </w:pPr>
      <w:r>
        <w:rPr>
          <w:rFonts w:hint="eastAsia"/>
        </w:rPr>
        <w:t>1. 服务人员要求</w:t>
      </w:r>
    </w:p>
    <w:p w14:paraId="27A18662">
      <w:pPr>
        <w:rPr>
          <w:rFonts w:hint="eastAsia"/>
        </w:rPr>
      </w:pPr>
      <w:r>
        <w:rPr>
          <w:rFonts w:hint="eastAsia"/>
        </w:rPr>
        <w:t>乙</w:t>
      </w:r>
      <w:bookmarkStart w:id="11" w:name="OLE_LINK12"/>
      <w:r>
        <w:rPr>
          <w:rFonts w:hint="eastAsia"/>
        </w:rPr>
        <w:t>方须指派具备相关专业认证和经验的工程师提供服务，并保证服务团队的稳定性</w:t>
      </w:r>
      <w:bookmarkEnd w:id="11"/>
      <w:r>
        <w:rPr>
          <w:rFonts w:hint="eastAsia"/>
        </w:rPr>
        <w:t>。</w:t>
      </w:r>
    </w:p>
    <w:p w14:paraId="7B44DD72">
      <w:pPr>
        <w:rPr>
          <w:rFonts w:hint="eastAsia"/>
        </w:rPr>
      </w:pPr>
      <w:r>
        <w:rPr>
          <w:rFonts w:hint="eastAsia"/>
        </w:rPr>
        <w:t>2. 资料交付要求</w:t>
      </w:r>
    </w:p>
    <w:p w14:paraId="31BB6C39">
      <w:pPr>
        <w:rPr>
          <w:rFonts w:hint="eastAsia"/>
        </w:rPr>
      </w:pPr>
      <w:r>
        <w:rPr>
          <w:rFonts w:hint="eastAsia"/>
        </w:rPr>
        <w:t>乙方在服务期内及</w:t>
      </w:r>
      <w:bookmarkStart w:id="12" w:name="OLE_LINK10"/>
      <w:r>
        <w:rPr>
          <w:rFonts w:hint="eastAsia"/>
        </w:rPr>
        <w:t>服务期满后需提交（但不限于）以下报告：</w:t>
      </w:r>
    </w:p>
    <w:bookmarkEnd w:id="12"/>
    <w:p w14:paraId="46D76E0A">
      <w:pPr>
        <w:numPr>
          <w:ilvl w:val="0"/>
          <w:numId w:val="5"/>
        </w:numPr>
        <w:ind w:left="1380" w:leftChars="0" w:hanging="420" w:firstLineChars="0"/>
        <w:rPr>
          <w:rFonts w:hint="eastAsia"/>
        </w:rPr>
      </w:pPr>
      <w:r>
        <w:rPr>
          <w:rFonts w:hint="eastAsia"/>
        </w:rPr>
        <w:t>系统开发文档、数据库设计文档、操作手册；</w:t>
      </w:r>
    </w:p>
    <w:p w14:paraId="7C5B7D19">
      <w:pPr>
        <w:numPr>
          <w:ilvl w:val="0"/>
          <w:numId w:val="5"/>
        </w:numPr>
        <w:ind w:left="1380" w:leftChars="0" w:hanging="420" w:firstLineChars="0"/>
        <w:rPr>
          <w:rFonts w:hint="eastAsia"/>
        </w:rPr>
      </w:pPr>
      <w:r>
        <w:rPr>
          <w:rFonts w:hint="eastAsia"/>
        </w:rPr>
        <w:t>运维服务报告、故障处理记录、巡检报告；</w:t>
      </w:r>
    </w:p>
    <w:p w14:paraId="471044E3">
      <w:pPr>
        <w:numPr>
          <w:ilvl w:val="0"/>
          <w:numId w:val="5"/>
        </w:numPr>
        <w:ind w:left="1380" w:leftChars="0" w:hanging="420" w:firstLineChars="0"/>
        <w:rPr>
          <w:rFonts w:hint="eastAsia"/>
        </w:rPr>
      </w:pPr>
      <w:r>
        <w:rPr>
          <w:rFonts w:hint="eastAsia"/>
        </w:rPr>
        <w:t>验收报告及相关培训资料。</w:t>
      </w:r>
    </w:p>
    <w:p w14:paraId="71342425">
      <w:pPr>
        <w:numPr>
          <w:ilvl w:val="0"/>
          <w:numId w:val="0"/>
        </w:numPr>
        <w:ind w:firstLine="640" w:firstLineChars="200"/>
        <w:rPr>
          <w:rFonts w:hint="eastAsia"/>
        </w:rPr>
      </w:pPr>
      <w:r>
        <w:rPr>
          <w:rFonts w:hint="eastAsia"/>
        </w:rPr>
        <w:t>3. 验收标准与方法</w:t>
      </w:r>
    </w:p>
    <w:p w14:paraId="60D3608B">
      <w:pPr>
        <w:ind w:firstLine="960" w:firstLineChars="300"/>
        <w:rPr>
          <w:rFonts w:hint="eastAsia"/>
        </w:rPr>
      </w:pPr>
      <w:bookmarkStart w:id="13" w:name="OLE_LINK11"/>
      <w:r>
        <w:rPr>
          <w:rFonts w:hint="eastAsia"/>
          <w:lang w:val="en-US" w:eastAsia="zh-CN"/>
        </w:rPr>
        <w:t>3.1</w:t>
      </w:r>
      <w:r>
        <w:rPr>
          <w:rFonts w:hint="eastAsia"/>
        </w:rPr>
        <w:t>验收标准：</w:t>
      </w:r>
    </w:p>
    <w:p w14:paraId="4F6F5C1D">
      <w:pPr>
        <w:numPr>
          <w:ilvl w:val="0"/>
          <w:numId w:val="6"/>
        </w:numPr>
        <w:ind w:left="1380" w:leftChars="0" w:hanging="420" w:firstLineChars="0"/>
        <w:rPr>
          <w:rFonts w:hint="eastAsia"/>
        </w:rPr>
      </w:pPr>
      <w:r>
        <w:rPr>
          <w:rFonts w:hint="eastAsia"/>
        </w:rPr>
        <w:t>系统功能符合需求说明，运行稳定，各项业务流程顺畅；</w:t>
      </w:r>
    </w:p>
    <w:p w14:paraId="292A4854">
      <w:pPr>
        <w:numPr>
          <w:ilvl w:val="0"/>
          <w:numId w:val="6"/>
        </w:numPr>
        <w:ind w:left="1380" w:leftChars="0" w:hanging="420" w:firstLineChars="0"/>
        <w:rPr>
          <w:rFonts w:hint="eastAsia"/>
        </w:rPr>
      </w:pPr>
      <w:r>
        <w:rPr>
          <w:rFonts w:hint="eastAsia"/>
        </w:rPr>
        <w:t>运维服务响应及时，故障处理满足约定时限；</w:t>
      </w:r>
    </w:p>
    <w:p w14:paraId="21B616D2">
      <w:pPr>
        <w:numPr>
          <w:ilvl w:val="0"/>
          <w:numId w:val="6"/>
        </w:numPr>
        <w:ind w:left="1380" w:leftChars="0" w:hanging="420" w:firstLineChars="0"/>
        <w:rPr>
          <w:rFonts w:hint="eastAsia"/>
        </w:rPr>
      </w:pPr>
      <w:r>
        <w:rPr>
          <w:rFonts w:hint="eastAsia"/>
        </w:rPr>
        <w:t>甲方对系统功能、服务质量及提交文档满意。</w:t>
      </w:r>
    </w:p>
    <w:p w14:paraId="2D93E91E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960" w:firstLineChars="300"/>
        <w:textAlignment w:val="auto"/>
        <w:rPr>
          <w:rFonts w:hint="eastAsia" w:eastAsia="方正仿宋_GBK" w:asciiTheme="minorAscii" w:hAnsiTheme="minorAscii" w:cstheme="minorBidi"/>
          <w:kern w:val="2"/>
          <w:sz w:val="32"/>
          <w:szCs w:val="24"/>
          <w:lang w:val="en-US" w:eastAsia="zh-CN" w:bidi="ar-SA"/>
        </w:rPr>
      </w:pPr>
      <w:bookmarkStart w:id="14" w:name="OLE_LINK13"/>
      <w:bookmarkStart w:id="15" w:name="OLE_LINK15"/>
      <w:r>
        <w:rPr>
          <w:rFonts w:hint="eastAsia" w:eastAsia="方正仿宋_GBK" w:asciiTheme="minorAscii" w:hAnsiTheme="minorAscii" w:cstheme="minorBidi"/>
          <w:kern w:val="2"/>
          <w:sz w:val="32"/>
          <w:szCs w:val="24"/>
          <w:lang w:val="en-US" w:eastAsia="zh-CN" w:bidi="ar-SA"/>
        </w:rPr>
        <w:t>3.2验收方法：服务期结束前，由甲乙双方共同进行系统功能测试、运维记录评审及成果验收。</w:t>
      </w:r>
    </w:p>
    <w:bookmarkEnd w:id="14"/>
    <w:p w14:paraId="1F9BA0B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960" w:firstLineChars="300"/>
        <w:textAlignment w:val="auto"/>
        <w:rPr>
          <w:rFonts w:hint="eastAsia" w:eastAsia="方正仿宋_GBK" w:asciiTheme="minorAscii" w:hAnsiTheme="minorAscii" w:cstheme="minorBidi"/>
          <w:kern w:val="2"/>
          <w:sz w:val="32"/>
          <w:szCs w:val="24"/>
          <w:lang w:val="en-US" w:eastAsia="zh-CN" w:bidi="ar-SA"/>
        </w:rPr>
      </w:pPr>
      <w:bookmarkStart w:id="16" w:name="OLE_LINK14"/>
      <w:r>
        <w:rPr>
          <w:rFonts w:hint="eastAsia" w:eastAsia="方正仿宋_GBK" w:asciiTheme="minorAscii" w:hAnsiTheme="minorAscii" w:cstheme="minorBidi"/>
          <w:kern w:val="2"/>
          <w:sz w:val="32"/>
          <w:szCs w:val="24"/>
          <w:lang w:val="en-US" w:eastAsia="zh-CN" w:bidi="ar-SA"/>
        </w:rPr>
        <w:t>3.3验收地点：宜兴市</w:t>
      </w:r>
      <w:r>
        <w:rPr>
          <w:rFonts w:hint="eastAsia" w:cstheme="minorBidi"/>
          <w:kern w:val="2"/>
          <w:sz w:val="32"/>
          <w:szCs w:val="24"/>
          <w:lang w:val="en-US" w:eastAsia="zh-CN" w:bidi="ar-SA"/>
        </w:rPr>
        <w:t>人社局</w:t>
      </w:r>
      <w:r>
        <w:rPr>
          <w:rFonts w:hint="eastAsia" w:eastAsia="方正仿宋_GBK" w:asciiTheme="minorAscii" w:hAnsiTheme="minorAscii" w:cstheme="minorBidi"/>
          <w:kern w:val="2"/>
          <w:sz w:val="32"/>
          <w:szCs w:val="24"/>
          <w:lang w:val="en-US" w:eastAsia="zh-CN" w:bidi="ar-SA"/>
        </w:rPr>
        <w:t>（或线上会议方式）。</w:t>
      </w:r>
      <w:bookmarkEnd w:id="15"/>
      <w:bookmarkEnd w:id="16"/>
    </w:p>
    <w:bookmarkEnd w:id="13"/>
    <w:p w14:paraId="4AC3234A">
      <w:pPr>
        <w:rPr>
          <w:rFonts w:hint="eastAsia"/>
        </w:rPr>
      </w:pPr>
      <w:r>
        <w:rPr>
          <w:rFonts w:hint="eastAsia"/>
        </w:rPr>
        <w:t>4. 保密要求</w:t>
      </w:r>
    </w:p>
    <w:p w14:paraId="2207CA26">
      <w:pPr>
        <w:rPr>
          <w:rFonts w:hint="eastAsia"/>
        </w:rPr>
      </w:pPr>
      <w:r>
        <w:rPr>
          <w:rFonts w:hint="eastAsia"/>
        </w:rPr>
        <w:t>未经甲方书面同意，乙方不得向任何第三方泄露系统架构、业务数据、政策细节等涉密信息。</w:t>
      </w:r>
    </w:p>
    <w:p w14:paraId="5A21D094">
      <w:pPr>
        <w:rPr>
          <w:rFonts w:hint="eastAsia"/>
        </w:rPr>
      </w:pPr>
      <w:r>
        <w:rPr>
          <w:rFonts w:hint="eastAsia"/>
        </w:rPr>
        <w:t>5. 违约责任</w:t>
      </w:r>
      <w:bookmarkStart w:id="17" w:name="_GoBack"/>
      <w:bookmarkEnd w:id="17"/>
    </w:p>
    <w:p w14:paraId="60424CD5">
      <w:pPr>
        <w:numPr>
          <w:numId w:val="0"/>
        </w:numPr>
        <w:ind w:left="960" w:leftChars="0"/>
        <w:rPr>
          <w:rFonts w:hint="eastAsia"/>
        </w:rPr>
      </w:pPr>
      <w:r>
        <w:rPr>
          <w:rFonts w:hint="eastAsia"/>
          <w:lang w:val="en-US" w:eastAsia="zh-CN"/>
        </w:rPr>
        <w:t>5.1</w:t>
      </w:r>
      <w:r>
        <w:rPr>
          <w:rFonts w:hint="eastAsia"/>
        </w:rPr>
        <w:t>乙方未能履行合同约定的服务要求（如响应超时、故障未及时解决等），对甲方造成损失的，每次应支付合同总额 5% 的违约金，甲方有权终止合同。</w:t>
      </w:r>
    </w:p>
    <w:p w14:paraId="6B6CA98E">
      <w:pPr>
        <w:numPr>
          <w:numId w:val="0"/>
        </w:numPr>
        <w:ind w:left="960" w:leftChars="0"/>
      </w:pPr>
      <w:r>
        <w:rPr>
          <w:rFonts w:hint="eastAsia"/>
          <w:lang w:val="en-US" w:eastAsia="zh-CN"/>
        </w:rPr>
        <w:t>5.2</w:t>
      </w:r>
      <w:r>
        <w:rPr>
          <w:rFonts w:hint="eastAsia"/>
        </w:rPr>
        <w:t>若甲方未按合同约定支付款项，应承担相应违约责任。</w:t>
      </w:r>
    </w:p>
    <w:p w14:paraId="64247CC2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D052CC"/>
    <w:multiLevelType w:val="singleLevel"/>
    <w:tmpl w:val="80D052CC"/>
    <w:lvl w:ilvl="0" w:tentative="0">
      <w:start w:val="1"/>
      <w:numFmt w:val="bullet"/>
      <w:lvlText w:val=""/>
      <w:lvlJc w:val="left"/>
      <w:pPr>
        <w:ind w:left="1380" w:leftChars="0" w:hanging="420" w:firstLineChars="0"/>
      </w:pPr>
      <w:rPr>
        <w:rFonts w:hint="default" w:ascii="Wingdings" w:hAnsi="Wingdings"/>
        <w:sz w:val="21"/>
        <w:szCs w:val="21"/>
      </w:rPr>
    </w:lvl>
  </w:abstractNum>
  <w:abstractNum w:abstractNumId="1">
    <w:nsid w:val="9252D33A"/>
    <w:multiLevelType w:val="singleLevel"/>
    <w:tmpl w:val="9252D33A"/>
    <w:lvl w:ilvl="0" w:tentative="0">
      <w:start w:val="1"/>
      <w:numFmt w:val="bullet"/>
      <w:lvlText w:val=""/>
      <w:lvlJc w:val="left"/>
      <w:pPr>
        <w:ind w:left="1380" w:hanging="420"/>
      </w:pPr>
      <w:rPr>
        <w:rFonts w:hint="default" w:ascii="Wingdings" w:hAnsi="Wingdings"/>
        <w:sz w:val="21"/>
        <w:szCs w:val="21"/>
      </w:rPr>
    </w:lvl>
  </w:abstractNum>
  <w:abstractNum w:abstractNumId="2">
    <w:nsid w:val="CF0FC1AC"/>
    <w:multiLevelType w:val="multilevel"/>
    <w:tmpl w:val="CF0FC1AC"/>
    <w:lvl w:ilvl="0" w:tentative="0">
      <w:start w:val="1"/>
      <w:numFmt w:val="bullet"/>
      <w:lvlText w:val=""/>
      <w:lvlJc w:val="left"/>
      <w:pPr>
        <w:ind w:left="1380" w:hanging="420"/>
      </w:pPr>
      <w:rPr>
        <w:rFonts w:hint="default" w:ascii="Wingdings" w:hAnsi="Wingdings"/>
        <w:sz w:val="21"/>
        <w:szCs w:val="21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1800" w:leftChars="0" w:hanging="420" w:firstLineChars="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2220" w:leftChars="0" w:hanging="420" w:firstLineChars="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2640" w:leftChars="0" w:hanging="420" w:firstLineChars="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3060" w:leftChars="0" w:hanging="420" w:firstLineChars="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3480" w:leftChars="0" w:hanging="420" w:firstLineChars="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3900" w:leftChars="0" w:hanging="420" w:firstLineChars="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4320" w:leftChars="0" w:hanging="420" w:firstLineChars="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4740" w:leftChars="0" w:hanging="420" w:firstLineChars="0"/>
      </w:pPr>
      <w:rPr>
        <w:rFonts w:hint="default" w:ascii="Wingdings" w:hAnsi="Wingdings"/>
      </w:rPr>
    </w:lvl>
  </w:abstractNum>
  <w:abstractNum w:abstractNumId="3">
    <w:nsid w:val="DF7E2BBE"/>
    <w:multiLevelType w:val="singleLevel"/>
    <w:tmpl w:val="DF7E2BBE"/>
    <w:lvl w:ilvl="0" w:tentative="0">
      <w:start w:val="1"/>
      <w:numFmt w:val="decimal"/>
      <w:lvlText w:val="%1."/>
      <w:lvlJc w:val="left"/>
      <w:pPr>
        <w:ind w:left="1065" w:hanging="425"/>
      </w:pPr>
      <w:rPr>
        <w:rFonts w:hint="default"/>
      </w:rPr>
    </w:lvl>
  </w:abstractNum>
  <w:abstractNum w:abstractNumId="4">
    <w:nsid w:val="FBC3908A"/>
    <w:multiLevelType w:val="singleLevel"/>
    <w:tmpl w:val="FBC3908A"/>
    <w:lvl w:ilvl="0" w:tentative="0">
      <w:start w:val="1"/>
      <w:numFmt w:val="bullet"/>
      <w:lvlText w:val=""/>
      <w:lvlJc w:val="left"/>
      <w:pPr>
        <w:ind w:left="1380" w:hanging="420"/>
      </w:pPr>
      <w:rPr>
        <w:rFonts w:hint="default" w:ascii="Wingdings" w:hAnsi="Wingdings"/>
        <w:b w:val="0"/>
        <w:bCs w:val="0"/>
        <w:sz w:val="21"/>
        <w:szCs w:val="21"/>
      </w:rPr>
    </w:lvl>
  </w:abstractNum>
  <w:abstractNum w:abstractNumId="5">
    <w:nsid w:val="FC19771C"/>
    <w:multiLevelType w:val="singleLevel"/>
    <w:tmpl w:val="FC19771C"/>
    <w:lvl w:ilvl="0" w:tentative="0">
      <w:start w:val="1"/>
      <w:numFmt w:val="chineseCounting"/>
      <w:suff w:val="nothing"/>
      <w:lvlText w:val="%1、"/>
      <w:lvlJc w:val="left"/>
      <w:pPr>
        <w:ind w:left="0" w:leftChars="0" w:firstLine="320" w:firstLineChars="0"/>
      </w:pPr>
      <w:rPr>
        <w:rFonts w:hint="eastAsia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C921DE"/>
    <w:rsid w:val="03C921DE"/>
    <w:rsid w:val="27926DC9"/>
    <w:rsid w:val="427D18D3"/>
    <w:rsid w:val="47271888"/>
    <w:rsid w:val="4C752B7D"/>
    <w:rsid w:val="53A257C3"/>
    <w:rsid w:val="72281774"/>
    <w:rsid w:val="78EA3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left"/>
    </w:pPr>
    <w:rPr>
      <w:rFonts w:eastAsia="方正仿宋_GBK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center"/>
      <w:outlineLvl w:val="0"/>
    </w:pPr>
    <w:rPr>
      <w:rFonts w:hint="eastAsia" w:ascii="宋体" w:hAnsi="宋体" w:eastAsia="方正小标宋_GBK" w:cs="宋体"/>
      <w:bCs/>
      <w:kern w:val="44"/>
      <w:sz w:val="44"/>
      <w:szCs w:val="48"/>
      <w:lang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  <w:outlineLvl w:val="1"/>
    </w:pPr>
    <w:rPr>
      <w:rFonts w:hint="eastAsia" w:ascii="宋体" w:hAnsi="宋体" w:eastAsia="方正黑体_GBK" w:cs="宋体"/>
      <w:bCs/>
      <w:kern w:val="0"/>
      <w:sz w:val="32"/>
      <w:szCs w:val="36"/>
      <w:lang w:bidi="ar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rPr>
      <w:rFonts w:ascii="华文中宋" w:eastAsia="华文中宋"/>
      <w:bCs/>
      <w:sz w:val="28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47</TotalTime>
  <ScaleCrop>false</ScaleCrop>
  <LinksUpToDate>false</LinksUpToDate>
  <CharactersWithSpaces>0</CharactersWithSpaces>
  <Application>WPS Office_12.8.2.17149_F1E327BC-269C-435d-A152-05C5408002CA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2025-11-18T01:16:00Z</dcterms:created>
  <dc:creator>蒋人君</dc:creator>
  <cp:lastModifiedBy>蒋人君</cp:lastModifiedBy>
  <dcterms:modified xsi:type="dcterms:W3CDTF">2025-11-18T02:30:47Z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2052-12.8.2.17149</vt:lpwstr>
  </property>
  <property fmtid="{D5CDD505-2E9C-101B-9397-08002B2CF9AE}" pid="3" name="ICV">
    <vt:lpwstr>64170A2FE0274023BCE30F74E72FBEDD_11</vt:lpwstr>
  </property>
</Properties>
</file>