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1709ED">
      <w:pPr>
        <w:ind w:left="0" w:leftChars="0" w:firstLine="0" w:firstLineChars="0"/>
        <w:jc w:val="both"/>
        <w:rPr>
          <w:rFonts w:hint="eastAsia"/>
        </w:rPr>
      </w:pPr>
      <w:r>
        <w:rPr>
          <w:rFonts w:hint="eastAsia"/>
          <w:b/>
          <w:bCs/>
        </w:rPr>
        <w:t>附件一：技术服务需求说明</w:t>
      </w:r>
    </w:p>
    <w:p w14:paraId="6D2BA513">
      <w:pPr>
        <w:rPr>
          <w:rFonts w:hint="eastAsia"/>
        </w:rPr>
      </w:pPr>
      <w:r>
        <w:rPr>
          <w:rFonts w:hint="eastAsia"/>
        </w:rPr>
        <w:t>投标人所投内容必须满足以下要求，不得有负偏离。</w:t>
      </w:r>
    </w:p>
    <w:p w14:paraId="14F9A4C7">
      <w:pPr>
        <w:pStyle w:val="4"/>
        <w:numPr>
          <w:ilvl w:val="0"/>
          <w:numId w:val="1"/>
        </w:numPr>
        <w:bidi w:val="0"/>
        <w:ind w:left="0" w:leftChars="0" w:firstLine="320" w:firstLineChars="0"/>
        <w:rPr>
          <w:rFonts w:hint="eastAsia"/>
        </w:rPr>
      </w:pPr>
      <w:r>
        <w:rPr>
          <w:rFonts w:hint="eastAsia"/>
        </w:rPr>
        <w:t>项目技术要求</w:t>
      </w:r>
    </w:p>
    <w:p w14:paraId="7A2D379F">
      <w:pPr>
        <w:pStyle w:val="5"/>
        <w:bidi w:val="0"/>
        <w:rPr>
          <w:rFonts w:hint="eastAsia"/>
        </w:rPr>
      </w:pPr>
      <w:r>
        <w:rPr>
          <w:rFonts w:hint="eastAsia"/>
        </w:rPr>
        <w:t>（一）采购项目一览表</w:t>
      </w:r>
      <w:bookmarkStart w:id="0" w:name="_GoBack"/>
      <w:bookmarkEnd w:id="0"/>
    </w:p>
    <w:tbl>
      <w:tblPr>
        <w:tblStyle w:val="6"/>
        <w:tblW w:w="91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2206"/>
        <w:gridCol w:w="2460"/>
        <w:gridCol w:w="3563"/>
      </w:tblGrid>
      <w:tr w14:paraId="5CE37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950" w:type="dxa"/>
            <w:vAlign w:val="center"/>
          </w:tcPr>
          <w:p w14:paraId="38D948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2206" w:type="dxa"/>
            <w:vAlign w:val="center"/>
          </w:tcPr>
          <w:p w14:paraId="308FFF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项 目 名 称</w:t>
            </w:r>
          </w:p>
        </w:tc>
        <w:tc>
          <w:tcPr>
            <w:tcW w:w="2460" w:type="dxa"/>
            <w:vAlign w:val="center"/>
          </w:tcPr>
          <w:p w14:paraId="4077D1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服务内容</w:t>
            </w:r>
          </w:p>
        </w:tc>
        <w:tc>
          <w:tcPr>
            <w:tcW w:w="3563" w:type="dxa"/>
            <w:vAlign w:val="center"/>
          </w:tcPr>
          <w:p w14:paraId="304684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服务期</w:t>
            </w:r>
          </w:p>
        </w:tc>
      </w:tr>
      <w:tr w14:paraId="0B456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3" w:hRule="atLeast"/>
          <w:jc w:val="center"/>
        </w:trPr>
        <w:tc>
          <w:tcPr>
            <w:tcW w:w="950" w:type="dxa"/>
            <w:vAlign w:val="center"/>
          </w:tcPr>
          <w:p w14:paraId="7633C1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206" w:type="dxa"/>
            <w:vAlign w:val="center"/>
          </w:tcPr>
          <w:p w14:paraId="6C629D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宜兴市人才服务中心户外全彩显示屏及  内部监控运行维护服务</w:t>
            </w:r>
          </w:p>
        </w:tc>
        <w:tc>
          <w:tcPr>
            <w:tcW w:w="2460" w:type="dxa"/>
            <w:vAlign w:val="center"/>
          </w:tcPr>
          <w:p w14:paraId="0DD83A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对户外全彩LED显示屏</w:t>
            </w:r>
            <w:r>
              <w:rPr>
                <w:rFonts w:hint="eastAsia"/>
                <w:lang w:val="en-US" w:eastAsia="zh-CN"/>
              </w:rPr>
              <w:t>及</w:t>
            </w:r>
            <w:r>
              <w:rPr>
                <w:rFonts w:hint="eastAsia"/>
              </w:rPr>
              <w:t>内部监控系统等共计11类设备提供全年运维保障服务</w:t>
            </w:r>
          </w:p>
        </w:tc>
        <w:tc>
          <w:tcPr>
            <w:tcW w:w="3563" w:type="dxa"/>
            <w:vAlign w:val="center"/>
          </w:tcPr>
          <w:p w14:paraId="3DF76D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0" w:firstLine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合同签订生效之日起壹年</w:t>
            </w:r>
          </w:p>
        </w:tc>
      </w:tr>
    </w:tbl>
    <w:p w14:paraId="1ED4F839">
      <w:pPr>
        <w:pStyle w:val="5"/>
        <w:bidi w:val="0"/>
        <w:rPr>
          <w:rFonts w:hint="eastAsia"/>
        </w:rPr>
      </w:pPr>
      <w:r>
        <w:rPr>
          <w:rFonts w:hint="eastAsia"/>
        </w:rPr>
        <w:t>（二）技术要求</w:t>
      </w:r>
    </w:p>
    <w:p w14:paraId="25CFE10A">
      <w:pPr>
        <w:numPr>
          <w:ilvl w:val="0"/>
          <w:numId w:val="2"/>
        </w:numPr>
        <w:ind w:left="1065" w:leftChars="0" w:hanging="425" w:firstLineChars="0"/>
        <w:rPr>
          <w:rFonts w:hint="eastAsia"/>
        </w:rPr>
      </w:pPr>
      <w:r>
        <w:rPr>
          <w:rFonts w:hint="eastAsia"/>
        </w:rPr>
        <w:t>维保服务范围与内容</w:t>
      </w:r>
    </w:p>
    <w:p w14:paraId="7F5A432B">
      <w:pPr>
        <w:rPr>
          <w:rFonts w:hint="eastAsia"/>
        </w:rPr>
      </w:pPr>
      <w:r>
        <w:rPr>
          <w:rFonts w:hint="eastAsia"/>
        </w:rPr>
        <w:t>本合同维保服务涵盖以下所有硬件设备及软件系统的检查、维护、故障响应与修复。需要维保的硬件设备详见下表：</w:t>
      </w:r>
    </w:p>
    <w:p w14:paraId="54EE79C7">
      <w:pPr>
        <w:numPr>
          <w:ilvl w:val="0"/>
          <w:numId w:val="3"/>
        </w:numPr>
        <w:ind w:left="1385" w:leftChars="0" w:hanging="425" w:firstLineChars="0"/>
        <w:rPr>
          <w:rFonts w:hint="eastAsia"/>
        </w:rPr>
      </w:pPr>
      <w:r>
        <w:rPr>
          <w:rFonts w:hint="eastAsia"/>
        </w:rPr>
        <w:t>户外全彩显示屏系统</w:t>
      </w:r>
    </w:p>
    <w:tbl>
      <w:tblPr>
        <w:tblStyle w:val="6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2580"/>
        <w:gridCol w:w="4390"/>
      </w:tblGrid>
      <w:tr w14:paraId="5AD47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4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72BE66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320" w:firstLineChars="10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 w14:paraId="413585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640" w:firstLineChars="20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/>
              </w:rPr>
              <w:t>部件名称</w:t>
            </w:r>
          </w:p>
        </w:tc>
        <w:tc>
          <w:tcPr>
            <w:tcW w:w="439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52A98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/>
              </w:rPr>
              <w:t>关键要求/备注</w:t>
            </w:r>
          </w:p>
        </w:tc>
      </w:tr>
      <w:tr w14:paraId="6AF29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A074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24A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户外P5全彩显示屏单元</w:t>
            </w:r>
          </w:p>
        </w:tc>
        <w:tc>
          <w:tcPr>
            <w:tcW w:w="4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EAC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包括模组、驱动IC、灯珠等显示核心部件</w:t>
            </w:r>
          </w:p>
        </w:tc>
      </w:tr>
      <w:tr w14:paraId="3DCEC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5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59B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EE4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△开关电源</w:t>
            </w:r>
          </w:p>
        </w:tc>
        <w:tc>
          <w:tcPr>
            <w:tcW w:w="4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1E18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确保输出电压稳定，满足屏体运行要求</w:t>
            </w:r>
          </w:p>
        </w:tc>
      </w:tr>
      <w:tr w14:paraId="4887F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5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3BAE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D57D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△控制系统</w:t>
            </w:r>
          </w:p>
        </w:tc>
        <w:tc>
          <w:tcPr>
            <w:tcW w:w="4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177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含发送卡、接收卡等，保障信号正常接收与传输</w:t>
            </w:r>
          </w:p>
        </w:tc>
      </w:tr>
      <w:tr w14:paraId="256C3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D5C5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A33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简易箱体</w:t>
            </w:r>
          </w:p>
        </w:tc>
        <w:tc>
          <w:tcPr>
            <w:tcW w:w="4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E397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结构安全，防水防尘</w:t>
            </w:r>
          </w:p>
        </w:tc>
      </w:tr>
      <w:tr w14:paraId="670B6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6670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0CE5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散热系统（含风扇等）</w:t>
            </w:r>
          </w:p>
        </w:tc>
        <w:tc>
          <w:tcPr>
            <w:tcW w:w="4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9BD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运行良好，有效控制箱体内温度</w:t>
            </w:r>
          </w:p>
        </w:tc>
      </w:tr>
      <w:tr w14:paraId="29805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B71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9FFC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电控箱</w:t>
            </w:r>
          </w:p>
        </w:tc>
        <w:tc>
          <w:tcPr>
            <w:tcW w:w="43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BCEB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内部元器件工作正常，线路规整</w:t>
            </w:r>
          </w:p>
        </w:tc>
      </w:tr>
      <w:tr w14:paraId="4F781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E8DC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7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600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室内LED显示屏单元</w:t>
            </w:r>
          </w:p>
        </w:tc>
        <w:tc>
          <w:tcPr>
            <w:tcW w:w="4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0FB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显示正常，无大面积死灯、坏</w:t>
            </w:r>
          </w:p>
        </w:tc>
      </w:tr>
      <w:tr w14:paraId="2FA9F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5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C84D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8314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△电源板</w:t>
            </w:r>
          </w:p>
        </w:tc>
        <w:tc>
          <w:tcPr>
            <w:tcW w:w="4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AEFF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工作稳定，无异常发热</w:t>
            </w:r>
          </w:p>
        </w:tc>
      </w:tr>
      <w:tr w14:paraId="3C97D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5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D20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DD3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△控制系统</w:t>
            </w:r>
          </w:p>
        </w:tc>
        <w:tc>
          <w:tcPr>
            <w:tcW w:w="4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F5F7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含发送卡、接收卡等，保障信号正常接收与传输</w:t>
            </w:r>
          </w:p>
        </w:tc>
      </w:tr>
    </w:tbl>
    <w:p w14:paraId="1647BAE3">
      <w:pPr>
        <w:numPr>
          <w:ilvl w:val="0"/>
          <w:numId w:val="3"/>
        </w:numPr>
        <w:ind w:left="1385" w:leftChars="0" w:hanging="425" w:firstLineChars="0"/>
        <w:rPr>
          <w:rFonts w:hint="eastAsia"/>
        </w:rPr>
      </w:pPr>
      <w:r>
        <w:rPr>
          <w:rFonts w:hint="eastAsia"/>
        </w:rPr>
        <w:t>市场内部监控系统</w:t>
      </w:r>
    </w:p>
    <w:tbl>
      <w:tblPr>
        <w:tblStyle w:val="6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2580"/>
        <w:gridCol w:w="4390"/>
      </w:tblGrid>
      <w:tr w14:paraId="2A263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49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64204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320" w:firstLineChars="10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 w14:paraId="70A609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640" w:firstLineChars="20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/>
              </w:rPr>
              <w:t>部件名称</w:t>
            </w:r>
          </w:p>
        </w:tc>
        <w:tc>
          <w:tcPr>
            <w:tcW w:w="439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A54F2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/>
              </w:rPr>
              <w:t>关键要求/备注</w:t>
            </w:r>
          </w:p>
        </w:tc>
      </w:tr>
      <w:tr w14:paraId="6A83C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C21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10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55C4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△监控摄像机</w:t>
            </w:r>
          </w:p>
        </w:tc>
        <w:tc>
          <w:tcPr>
            <w:tcW w:w="4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84DA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图像清晰，云台控制（如有）灵活，红外夜视功能正常</w:t>
            </w:r>
          </w:p>
        </w:tc>
      </w:tr>
      <w:tr w14:paraId="7B169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5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3DA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11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F545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△监控摄像机</w:t>
            </w:r>
          </w:p>
        </w:tc>
        <w:tc>
          <w:tcPr>
            <w:tcW w:w="4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5F60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图像清晰，功能正常</w:t>
            </w:r>
          </w:p>
        </w:tc>
      </w:tr>
      <w:tr w14:paraId="1867D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5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AD58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12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298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△网络硬盘录像机（NVR）</w:t>
            </w:r>
          </w:p>
        </w:tc>
        <w:tc>
          <w:tcPr>
            <w:tcW w:w="4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3A8B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能正常录像、存储、回放，系统运行稳定</w:t>
            </w:r>
          </w:p>
          <w:p w14:paraId="12257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BF0C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5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8E69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5F3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监控专用电源</w:t>
            </w:r>
          </w:p>
        </w:tc>
        <w:tc>
          <w:tcPr>
            <w:tcW w:w="4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FF9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供电稳定</w:t>
            </w:r>
          </w:p>
        </w:tc>
      </w:tr>
      <w:tr w14:paraId="379FB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5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2D0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14</w:t>
            </w:r>
          </w:p>
        </w:tc>
        <w:tc>
          <w:tcPr>
            <w:tcW w:w="25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DE8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监控专用电源</w:t>
            </w:r>
          </w:p>
        </w:tc>
        <w:tc>
          <w:tcPr>
            <w:tcW w:w="43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28B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供电稳定</w:t>
            </w:r>
          </w:p>
        </w:tc>
      </w:tr>
    </w:tbl>
    <w:p w14:paraId="2533514C">
      <w:pPr>
        <w:rPr>
          <w:rFonts w:hint="eastAsia"/>
        </w:rPr>
      </w:pPr>
      <w:r>
        <w:rPr>
          <w:rFonts w:hint="eastAsia"/>
          <w:b/>
          <w:bCs/>
        </w:rPr>
        <w:t>△ 为核心部件，必须保证使用原厂或兼容性、性能相当的正品备件进行更换。</w:t>
      </w:r>
    </w:p>
    <w:p w14:paraId="5C2B4DF9">
      <w:pPr>
        <w:rPr>
          <w:rFonts w:hint="eastAsia"/>
        </w:rPr>
      </w:pPr>
      <w:r>
        <w:rPr>
          <w:rFonts w:hint="eastAsia"/>
        </w:rPr>
        <w:t>1.2 软件及系统维护</w:t>
      </w:r>
    </w:p>
    <w:p w14:paraId="2B8B813C">
      <w:pPr>
        <w:ind w:firstLine="960" w:firstLineChars="300"/>
        <w:rPr>
          <w:rFonts w:hint="eastAsia"/>
        </w:rPr>
      </w:pPr>
      <w:r>
        <w:rPr>
          <w:rFonts w:hint="eastAsia"/>
        </w:rPr>
        <w:t>•  显示屏控制软件、节目发布软件的故障排查与修复。</w:t>
      </w:r>
    </w:p>
    <w:p w14:paraId="0B15A75E">
      <w:pPr>
        <w:ind w:firstLine="960" w:firstLineChars="300"/>
        <w:rPr>
          <w:rFonts w:hint="eastAsia"/>
        </w:rPr>
      </w:pPr>
      <w:r>
        <w:rPr>
          <w:rFonts w:hint="eastAsia"/>
        </w:rPr>
        <w:t>•  监控系统软件、网络设置故障的排查与修复。</w:t>
      </w:r>
    </w:p>
    <w:p w14:paraId="63093AF0">
      <w:pPr>
        <w:numPr>
          <w:ilvl w:val="0"/>
          <w:numId w:val="2"/>
        </w:numPr>
        <w:ind w:left="1065" w:leftChars="0" w:hanging="425" w:firstLineChars="0"/>
        <w:rPr>
          <w:rFonts w:hint="eastAsia"/>
        </w:rPr>
      </w:pPr>
      <w:r>
        <w:rPr>
          <w:rFonts w:hint="eastAsia"/>
        </w:rPr>
        <w:t>服务技术要求</w:t>
      </w:r>
    </w:p>
    <w:p w14:paraId="5EE75DD9">
      <w:pPr>
        <w:rPr>
          <w:rFonts w:hint="eastAsia"/>
        </w:rPr>
      </w:pPr>
      <w:r>
        <w:rPr>
          <w:rFonts w:hint="eastAsia"/>
        </w:rPr>
        <w:t>2.1 服务响应与处理</w:t>
      </w:r>
    </w:p>
    <w:p w14:paraId="4EC06B81">
      <w:pPr>
        <w:ind w:firstLine="960" w:firstLineChars="300"/>
        <w:rPr>
          <w:rFonts w:hint="eastAsia"/>
        </w:rPr>
      </w:pPr>
      <w:r>
        <w:rPr>
          <w:rFonts w:hint="eastAsia"/>
        </w:rPr>
        <w:t>•  响应时间：接到甲方故障报修通知后，乙方工程师应在 2小时内 抵达现场。</w:t>
      </w:r>
    </w:p>
    <w:p w14:paraId="7F0C6B7B">
      <w:pPr>
        <w:ind w:firstLine="960" w:firstLineChars="300"/>
        <w:rPr>
          <w:rFonts w:hint="eastAsia"/>
        </w:rPr>
      </w:pPr>
      <w:r>
        <w:rPr>
          <w:rFonts w:hint="eastAsia"/>
        </w:rPr>
        <w:t>•  处理时限：软件故障应在 4小时内 解决；普通硬件故障应在 24小时内 解决；如需订购特殊配件，应及时向甲方说明，双方协商解决时限。</w:t>
      </w:r>
    </w:p>
    <w:p w14:paraId="24A96108">
      <w:pPr>
        <w:rPr>
          <w:rFonts w:hint="eastAsia"/>
        </w:rPr>
      </w:pPr>
      <w:r>
        <w:rPr>
          <w:rFonts w:hint="eastAsia"/>
        </w:rPr>
        <w:t>2.2 服务方式</w:t>
      </w:r>
    </w:p>
    <w:p w14:paraId="17406D1D">
      <w:pPr>
        <w:ind w:firstLine="960" w:firstLineChars="300"/>
        <w:rPr>
          <w:rFonts w:hint="eastAsia"/>
        </w:rPr>
      </w:pPr>
      <w:r>
        <w:rPr>
          <w:rFonts w:hint="eastAsia"/>
        </w:rPr>
        <w:t>•  工程师现场服务：对于无法远程解决的故障，提供上门维修服务。</w:t>
      </w:r>
    </w:p>
    <w:p w14:paraId="1160CC95">
      <w:pPr>
        <w:ind w:firstLine="960" w:firstLineChars="300"/>
        <w:rPr>
          <w:rFonts w:hint="eastAsia"/>
        </w:rPr>
      </w:pPr>
      <w:r>
        <w:rPr>
          <w:rFonts w:hint="eastAsia"/>
        </w:rPr>
        <w:t>•  热线电话支持：提供7x24小时技术咨询电话支持。</w:t>
      </w:r>
    </w:p>
    <w:p w14:paraId="0982823C">
      <w:pPr>
        <w:ind w:firstLine="960" w:firstLineChars="300"/>
        <w:rPr>
          <w:rFonts w:hint="eastAsia"/>
        </w:rPr>
      </w:pPr>
      <w:r>
        <w:rPr>
          <w:rFonts w:hint="eastAsia"/>
        </w:rPr>
        <w:t>•  远程网站支持：在网络安全允许的条件下，提供远程技术诊断和支持。</w:t>
      </w:r>
    </w:p>
    <w:p w14:paraId="5140601A">
      <w:pPr>
        <w:rPr>
          <w:rFonts w:hint="eastAsia"/>
        </w:rPr>
      </w:pPr>
      <w:r>
        <w:rPr>
          <w:rFonts w:hint="eastAsia"/>
        </w:rPr>
        <w:t>2.3 预防性维护</w:t>
      </w:r>
    </w:p>
    <w:p w14:paraId="2A85DB71">
      <w:pPr>
        <w:ind w:firstLine="960" w:firstLineChars="300"/>
        <w:rPr>
          <w:rFonts w:hint="eastAsia"/>
        </w:rPr>
      </w:pPr>
      <w:r>
        <w:rPr>
          <w:rFonts w:hint="eastAsia"/>
        </w:rPr>
        <w:t>•  定期巡检：每季度至少提供一次全面的预防性巡检服务，包括设备清洁、连接检查、性能测试、安全隐患排查等。</w:t>
      </w:r>
    </w:p>
    <w:p w14:paraId="11B489AA">
      <w:pPr>
        <w:ind w:firstLine="960" w:firstLineChars="300"/>
        <w:rPr>
          <w:rFonts w:hint="eastAsia"/>
        </w:rPr>
      </w:pPr>
      <w:r>
        <w:rPr>
          <w:rFonts w:hint="eastAsia"/>
        </w:rPr>
        <w:t>•  健康检查：对显示屏控制系统、监控录像机等核心设备进行系统健康检查，性能分析及优化建议。</w:t>
      </w:r>
    </w:p>
    <w:p w14:paraId="49F748B1">
      <w:pPr>
        <w:pStyle w:val="4"/>
        <w:numPr>
          <w:ilvl w:val="0"/>
          <w:numId w:val="1"/>
        </w:numPr>
        <w:bidi w:val="0"/>
        <w:ind w:left="0" w:leftChars="0" w:firstLine="320" w:firstLineChars="0"/>
        <w:rPr>
          <w:rFonts w:hint="eastAsia"/>
        </w:rPr>
      </w:pPr>
      <w:r>
        <w:rPr>
          <w:rFonts w:hint="eastAsia"/>
        </w:rPr>
        <w:t>服务及商务要求</w:t>
      </w:r>
    </w:p>
    <w:p w14:paraId="0CC14055">
      <w:pPr>
        <w:rPr>
          <w:rFonts w:hint="eastAsia"/>
        </w:rPr>
      </w:pPr>
      <w:r>
        <w:rPr>
          <w:rFonts w:hint="eastAsia"/>
        </w:rPr>
        <w:t>1. 服务人员要求</w:t>
      </w:r>
    </w:p>
    <w:p w14:paraId="27A18662">
      <w:pPr>
        <w:rPr>
          <w:rFonts w:hint="eastAsia"/>
        </w:rPr>
      </w:pPr>
      <w:r>
        <w:rPr>
          <w:rFonts w:hint="eastAsia"/>
        </w:rPr>
        <w:t>乙方须指派具备相关专业认证和经验的工程师提供服务，并保证服务团队的稳定性。</w:t>
      </w:r>
    </w:p>
    <w:p w14:paraId="7B44DD72">
      <w:pPr>
        <w:rPr>
          <w:rFonts w:hint="eastAsia"/>
        </w:rPr>
      </w:pPr>
      <w:r>
        <w:rPr>
          <w:rFonts w:hint="eastAsia"/>
        </w:rPr>
        <w:t>2. 资料交付要求</w:t>
      </w:r>
    </w:p>
    <w:p w14:paraId="31BB6C39">
      <w:pPr>
        <w:rPr>
          <w:rFonts w:hint="eastAsia"/>
        </w:rPr>
      </w:pPr>
      <w:r>
        <w:rPr>
          <w:rFonts w:hint="eastAsia"/>
        </w:rPr>
        <w:t>乙方在服务期内及服务期满后需提交（但不限于）以下报告：</w:t>
      </w:r>
    </w:p>
    <w:p w14:paraId="05E702D9">
      <w:pPr>
        <w:ind w:firstLine="960" w:firstLineChars="300"/>
        <w:rPr>
          <w:rFonts w:hint="eastAsia"/>
        </w:rPr>
      </w:pPr>
      <w:r>
        <w:rPr>
          <w:rFonts w:hint="eastAsia"/>
        </w:rPr>
        <w:t>•  全年现场服务报告。</w:t>
      </w:r>
    </w:p>
    <w:p w14:paraId="6AD7C50B">
      <w:pPr>
        <w:ind w:firstLine="960" w:firstLineChars="300"/>
        <w:rPr>
          <w:rFonts w:hint="eastAsia"/>
        </w:rPr>
      </w:pPr>
      <w:r>
        <w:rPr>
          <w:rFonts w:hint="eastAsia"/>
        </w:rPr>
        <w:t>•  系统设备维修更换清单报告。</w:t>
      </w:r>
    </w:p>
    <w:p w14:paraId="565B951C">
      <w:pPr>
        <w:ind w:firstLine="960" w:firstLineChars="300"/>
        <w:rPr>
          <w:rFonts w:hint="eastAsia"/>
        </w:rPr>
      </w:pPr>
      <w:r>
        <w:rPr>
          <w:rFonts w:hint="eastAsia"/>
        </w:rPr>
        <w:t xml:space="preserve">•  </w:t>
      </w:r>
      <w:r>
        <w:rPr>
          <w:rFonts w:hint="eastAsia"/>
          <w:lang w:val="en-US" w:eastAsia="zh-CN"/>
        </w:rPr>
        <w:t>验收报告</w:t>
      </w:r>
      <w:r>
        <w:rPr>
          <w:rFonts w:hint="eastAsia"/>
        </w:rPr>
        <w:t>。</w:t>
      </w:r>
    </w:p>
    <w:p w14:paraId="71342425">
      <w:pPr>
        <w:rPr>
          <w:rFonts w:hint="eastAsia"/>
        </w:rPr>
      </w:pPr>
      <w:r>
        <w:rPr>
          <w:rFonts w:hint="eastAsia"/>
        </w:rPr>
        <w:t>3. 验收标准与方法</w:t>
      </w:r>
    </w:p>
    <w:p w14:paraId="60D3608B">
      <w:pPr>
        <w:ind w:firstLine="960" w:firstLineChars="300"/>
        <w:rPr>
          <w:rFonts w:hint="eastAsia"/>
        </w:rPr>
      </w:pPr>
      <w:r>
        <w:rPr>
          <w:rFonts w:hint="eastAsia"/>
        </w:rPr>
        <w:t>•  验收标准：</w:t>
      </w:r>
    </w:p>
    <w:p w14:paraId="6D7606E3">
      <w:pPr>
        <w:numPr>
          <w:ilvl w:val="0"/>
          <w:numId w:val="4"/>
        </w:numPr>
        <w:ind w:left="880" w:leftChars="0" w:firstLine="400" w:firstLineChars="0"/>
        <w:rPr>
          <w:rFonts w:hint="eastAsia"/>
        </w:rPr>
      </w:pPr>
      <w:r>
        <w:rPr>
          <w:rFonts w:hint="eastAsia"/>
        </w:rPr>
        <w:t>全年系统运行正常，故障修复及时，达到本合同约定的响应与处理时限要求。</w:t>
      </w:r>
    </w:p>
    <w:p w14:paraId="69EA7DA8">
      <w:pPr>
        <w:numPr>
          <w:ilvl w:val="0"/>
          <w:numId w:val="4"/>
        </w:numPr>
        <w:ind w:left="880" w:leftChars="0" w:firstLine="400" w:firstLineChars="0"/>
        <w:rPr>
          <w:rFonts w:hint="eastAsia"/>
        </w:rPr>
      </w:pPr>
      <w:r>
        <w:rPr>
          <w:rFonts w:hint="eastAsia"/>
        </w:rPr>
        <w:t>定期巡检完成率达100%，巡检报告内容详实准确。</w:t>
      </w:r>
    </w:p>
    <w:p w14:paraId="339776EF">
      <w:pPr>
        <w:numPr>
          <w:ilvl w:val="0"/>
          <w:numId w:val="4"/>
        </w:numPr>
        <w:ind w:left="880" w:leftChars="0" w:firstLine="400" w:firstLineChars="0"/>
        <w:rPr>
          <w:rFonts w:hint="eastAsia"/>
        </w:rPr>
      </w:pPr>
      <w:r>
        <w:rPr>
          <w:rFonts w:hint="eastAsia"/>
        </w:rPr>
        <w:t>甲方对乙方技术人员现场服务质量及提交的各项报告质量满意。</w:t>
      </w:r>
    </w:p>
    <w:p w14:paraId="542A02B4">
      <w:pPr>
        <w:ind w:firstLine="960" w:firstLineChars="300"/>
        <w:rPr>
          <w:rFonts w:hint="eastAsia"/>
        </w:rPr>
      </w:pPr>
      <w:r>
        <w:rPr>
          <w:rFonts w:hint="eastAsia"/>
        </w:rPr>
        <w:t>•  验收方法：维保期结束前一周内，由甲乙双方相关人员召开验收评审会，审查服务报告记录，并进行现场运行测试。</w:t>
      </w:r>
    </w:p>
    <w:p w14:paraId="7F8220B1">
      <w:pPr>
        <w:ind w:firstLine="960" w:firstLineChars="300"/>
        <w:rPr>
          <w:rFonts w:hint="eastAsia"/>
        </w:rPr>
      </w:pPr>
      <w:r>
        <w:rPr>
          <w:rFonts w:hint="eastAsia"/>
        </w:rPr>
        <w:t>•  验收地点：宜兴市</w:t>
      </w:r>
      <w:r>
        <w:rPr>
          <w:rFonts w:hint="eastAsia"/>
          <w:lang w:val="en-US" w:eastAsia="zh-CN"/>
        </w:rPr>
        <w:t>人才服务中心</w:t>
      </w:r>
      <w:r>
        <w:rPr>
          <w:rFonts w:hint="eastAsia"/>
        </w:rPr>
        <w:t>。</w:t>
      </w:r>
    </w:p>
    <w:p w14:paraId="4AC3234A">
      <w:pPr>
        <w:rPr>
          <w:rFonts w:hint="eastAsia"/>
        </w:rPr>
      </w:pPr>
      <w:r>
        <w:rPr>
          <w:rFonts w:hint="eastAsia"/>
        </w:rPr>
        <w:t>4. 保密要求</w:t>
      </w:r>
    </w:p>
    <w:p w14:paraId="2207CA26">
      <w:pPr>
        <w:rPr>
          <w:rFonts w:hint="eastAsia"/>
        </w:rPr>
      </w:pPr>
      <w:r>
        <w:rPr>
          <w:rFonts w:hint="eastAsia"/>
        </w:rPr>
        <w:t>甲乙双方应遵守保密义务，未经对方同意，不得向任何第三方泄露本次服务涉及的技术资料、系统配置、用户数据等信息。</w:t>
      </w:r>
    </w:p>
    <w:p w14:paraId="5A21D094">
      <w:pPr>
        <w:rPr>
          <w:rFonts w:hint="eastAsia"/>
        </w:rPr>
      </w:pPr>
      <w:r>
        <w:rPr>
          <w:rFonts w:hint="eastAsia"/>
        </w:rPr>
        <w:t>5. 违约责任</w:t>
      </w:r>
    </w:p>
    <w:p w14:paraId="60424CD5">
      <w:pPr>
        <w:ind w:firstLine="960" w:firstLineChars="300"/>
        <w:rPr>
          <w:rFonts w:hint="eastAsia"/>
        </w:rPr>
      </w:pPr>
      <w:r>
        <w:rPr>
          <w:rFonts w:hint="eastAsia"/>
        </w:rPr>
        <w:t>•  若乙方未能履行合同约定的服务要求（如响应超时、故障未及时解决等），对甲方造成损失的，每次应支付合同总额 5% 的违约金，甲方有权终止合同。</w:t>
      </w:r>
    </w:p>
    <w:p w14:paraId="7E81FD2A">
      <w:pPr>
        <w:ind w:firstLine="960" w:firstLineChars="300"/>
      </w:pPr>
      <w:r>
        <w:rPr>
          <w:rFonts w:hint="eastAsia"/>
        </w:rPr>
        <w:t>•  若甲方未按合同约定支付款项，应承担相应违约责任。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1F91D8"/>
    <w:multiLevelType w:val="singleLevel"/>
    <w:tmpl w:val="901F91D8"/>
    <w:lvl w:ilvl="0" w:tentative="0">
      <w:start w:val="1"/>
      <w:numFmt w:val="lowerLetter"/>
      <w:lvlText w:val="%1."/>
      <w:lvlJc w:val="left"/>
      <w:pPr>
        <w:ind w:left="1385" w:hanging="425"/>
      </w:pPr>
      <w:rPr>
        <w:rFonts w:hint="default"/>
      </w:rPr>
    </w:lvl>
  </w:abstractNum>
  <w:abstractNum w:abstractNumId="1">
    <w:nsid w:val="DF7E2BBE"/>
    <w:multiLevelType w:val="singleLevel"/>
    <w:tmpl w:val="DF7E2BBE"/>
    <w:lvl w:ilvl="0" w:tentative="0">
      <w:start w:val="1"/>
      <w:numFmt w:val="decimal"/>
      <w:lvlText w:val="%1."/>
      <w:lvlJc w:val="left"/>
      <w:pPr>
        <w:ind w:left="1065" w:hanging="425"/>
      </w:pPr>
      <w:rPr>
        <w:rFonts w:hint="default"/>
      </w:rPr>
    </w:lvl>
  </w:abstractNum>
  <w:abstractNum w:abstractNumId="2">
    <w:nsid w:val="FC19771C"/>
    <w:multiLevelType w:val="singleLevel"/>
    <w:tmpl w:val="FC19771C"/>
    <w:lvl w:ilvl="0" w:tentative="0">
      <w:start w:val="1"/>
      <w:numFmt w:val="chineseCounting"/>
      <w:suff w:val="nothing"/>
      <w:lvlText w:val="%1、"/>
      <w:lvlJc w:val="left"/>
      <w:pPr>
        <w:ind w:left="0" w:leftChars="0" w:firstLine="320" w:firstLineChars="0"/>
      </w:pPr>
      <w:rPr>
        <w:rFonts w:hint="eastAsia"/>
      </w:rPr>
    </w:lvl>
  </w:abstractNum>
  <w:abstractNum w:abstractNumId="3">
    <w:nsid w:val="6BCBCAF6"/>
    <w:multiLevelType w:val="singleLevel"/>
    <w:tmpl w:val="6BCBCAF6"/>
    <w:lvl w:ilvl="0" w:tentative="0">
      <w:start w:val="1"/>
      <w:numFmt w:val="decimal"/>
      <w:suff w:val="nothing"/>
      <w:lvlText w:val="%1．"/>
      <w:lvlJc w:val="left"/>
      <w:pPr>
        <w:ind w:left="880" w:firstLine="4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BA2875"/>
    <w:rsid w:val="16BA1052"/>
    <w:rsid w:val="27926DC9"/>
    <w:rsid w:val="427D18D3"/>
    <w:rsid w:val="4C3C463C"/>
    <w:rsid w:val="6CBA2875"/>
    <w:rsid w:val="6D607C5A"/>
    <w:rsid w:val="72281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880" w:firstLineChars="200"/>
      <w:jc w:val="left"/>
    </w:pPr>
    <w:rPr>
      <w:rFonts w:eastAsia="方正仿宋_GBK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center"/>
      <w:outlineLvl w:val="0"/>
    </w:pPr>
    <w:rPr>
      <w:rFonts w:hint="eastAsia" w:ascii="宋体" w:hAnsi="宋体" w:eastAsia="方正小标宋_GBK" w:cs="宋体"/>
      <w:bCs/>
      <w:kern w:val="44"/>
      <w:sz w:val="44"/>
      <w:szCs w:val="48"/>
      <w:lang w:bidi="ar"/>
    </w:rPr>
  </w:style>
  <w:style w:type="paragraph" w:styleId="4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  <w:outlineLvl w:val="1"/>
    </w:pPr>
    <w:rPr>
      <w:rFonts w:hint="eastAsia" w:ascii="宋体" w:hAnsi="宋体" w:eastAsia="方正黑体_GBK" w:cs="宋体"/>
      <w:bCs/>
      <w:kern w:val="0"/>
      <w:sz w:val="32"/>
      <w:szCs w:val="36"/>
      <w:lang w:bidi="ar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华文中宋" w:eastAsia="华文中宋"/>
      <w:bCs/>
      <w:sz w:val="2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26</TotalTime>
  <ScaleCrop>false</ScaleCrop>
  <LinksUpToDate>false</LinksUpToDate>
  <CharactersWithSpaces>0</CharactersWithSpaces>
  <Application>WPS Office_12.8.2.17149_F1E327BC-269C-435d-A152-05C5408002CA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2025-11-11T02:58:00Z</dcterms:created>
  <dc:creator>蒋人君</dc:creator>
  <cp:lastModifiedBy>蒋人君</cp:lastModifiedBy>
  <dcterms:modified xsi:type="dcterms:W3CDTF">2025-11-13T01:22:31Z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2052-12.8.2.17149</vt:lpwstr>
  </property>
  <property fmtid="{D5CDD505-2E9C-101B-9397-08002B2CF9AE}" pid="3" name="ICV">
    <vt:lpwstr>07A9A656DDED444FB675AA6260BB06F7_11</vt:lpwstr>
  </property>
</Properties>
</file>