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F89FB">
      <w:pPr>
        <w:spacing w:line="276" w:lineRule="auto"/>
        <w:ind w:left="-9" w:leftChars="0" w:right="0" w:rightChars="0" w:firstLine="82" w:firstLineChars="34"/>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附件：评标细则</w:t>
      </w:r>
    </w:p>
    <w:p w14:paraId="7277F5C5">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次评标采用合理低价法评标办法，总分100分，由评标委员会按以下规则计算汇总评审结果，按照评标总分从高到低的顺序向招标人推荐1至3名中标候选人，并标明排序。如评标总分相同，评标价低的优先；评标价也相等的，由招标人以抽签方式确定排序。招标文件“第三章评标办法”与本细则不一致的，以本细则为准。具体如下：</w:t>
      </w:r>
    </w:p>
    <w:p w14:paraId="3DE3A56D">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一、投标报价（100 分）</w:t>
      </w:r>
    </w:p>
    <w:p w14:paraId="0D799A58">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（一）确定评标基准价</w:t>
      </w:r>
    </w:p>
    <w:p w14:paraId="7E785786">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1、评标基准价=(A×35%＋B×45%＋C×20%)×K</w:t>
      </w:r>
    </w:p>
    <w:p w14:paraId="73E723A8">
      <w:pPr>
        <w:pStyle w:val="3"/>
        <w:keepNext w:val="0"/>
        <w:keepLines w:val="0"/>
        <w:widowControl/>
        <w:suppressLineNumbers w:val="0"/>
        <w:spacing w:before="0" w:beforeAutospacing="0" w:after="0" w:afterAutospacing="0" w:line="400" w:lineRule="atLeast"/>
        <w:ind w:left="0" w:right="-82"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A＝最高投标限价×（100%-下浮率Δ）。</w:t>
      </w:r>
    </w:p>
    <w:p w14:paraId="7654E65D">
      <w:pPr>
        <w:pStyle w:val="3"/>
        <w:keepNext w:val="0"/>
        <w:keepLines w:val="0"/>
        <w:widowControl/>
        <w:suppressLineNumbers w:val="0"/>
        <w:spacing w:before="0" w:beforeAutospacing="0" w:after="0" w:afterAutospacing="0" w:line="400" w:lineRule="atLeast"/>
        <w:ind w:left="0" w:right="-82" w:firstLine="480"/>
        <w:jc w:val="lef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下浮率Δ</w:t>
      </w:r>
      <w:r>
        <w:rPr>
          <w:rFonts w:hint="eastAsia" w:cs="宋体"/>
          <w:color w:val="000000" w:themeColor="text1"/>
          <w:sz w:val="24"/>
          <w:szCs w:val="24"/>
          <w:highlight w:val="none"/>
          <w:lang w:val="en-US" w:eastAsia="zh-CN"/>
          <w14:textFill>
            <w14:solidFill>
              <w14:schemeClr w14:val="tx1"/>
            </w14:solidFill>
          </w14:textFill>
        </w:rPr>
        <w:t>取值范围</w:t>
      </w:r>
      <w:r>
        <w:rPr>
          <w:rFonts w:hint="eastAsia" w:cs="宋体"/>
          <w:color w:val="000000" w:themeColor="text1"/>
          <w:sz w:val="24"/>
          <w:szCs w:val="24"/>
          <w:highlight w:val="yellow"/>
          <w:lang w:val="en-US" w:eastAsia="zh-CN"/>
          <w14:textFill>
            <w14:solidFill>
              <w14:schemeClr w14:val="tx1"/>
            </w14:solidFill>
          </w14:textFill>
        </w:rPr>
        <w:t>8</w:t>
      </w:r>
      <w:r>
        <w:rPr>
          <w:rFonts w:hint="eastAsia" w:ascii="宋体" w:hAnsi="宋体" w:eastAsia="宋体" w:cs="宋体"/>
          <w:color w:val="000000" w:themeColor="text1"/>
          <w:sz w:val="24"/>
          <w:szCs w:val="24"/>
          <w:highlight w:val="yellow"/>
          <w14:textFill>
            <w14:solidFill>
              <w14:schemeClr w14:val="tx1"/>
            </w14:solidFill>
          </w14:textFill>
        </w:rPr>
        <w:t>%、</w:t>
      </w:r>
      <w:r>
        <w:rPr>
          <w:rFonts w:hint="eastAsia" w:cs="宋体"/>
          <w:color w:val="000000" w:themeColor="text1"/>
          <w:sz w:val="24"/>
          <w:szCs w:val="24"/>
          <w:highlight w:val="yellow"/>
          <w:lang w:val="en-US" w:eastAsia="zh-CN"/>
          <w14:textFill>
            <w14:solidFill>
              <w14:schemeClr w14:val="tx1"/>
            </w14:solidFill>
          </w14:textFill>
        </w:rPr>
        <w:t>9</w:t>
      </w:r>
      <w:r>
        <w:rPr>
          <w:rFonts w:hint="eastAsia" w:ascii="宋体" w:hAnsi="宋体" w:eastAsia="宋体" w:cs="宋体"/>
          <w:color w:val="000000" w:themeColor="text1"/>
          <w:sz w:val="24"/>
          <w:szCs w:val="24"/>
          <w:highlight w:val="yellow"/>
          <w14:textFill>
            <w14:solidFill>
              <w14:schemeClr w14:val="tx1"/>
            </w14:solidFill>
          </w14:textFill>
        </w:rPr>
        <w:t>%、</w:t>
      </w:r>
      <w:r>
        <w:rPr>
          <w:rFonts w:hint="eastAsia" w:cs="宋体"/>
          <w:color w:val="000000" w:themeColor="text1"/>
          <w:sz w:val="24"/>
          <w:szCs w:val="24"/>
          <w:highlight w:val="yellow"/>
          <w:lang w:val="en-US" w:eastAsia="zh-CN"/>
          <w14:textFill>
            <w14:solidFill>
              <w14:schemeClr w14:val="tx1"/>
            </w14:solidFill>
          </w14:textFill>
        </w:rPr>
        <w:t>10</w:t>
      </w:r>
      <w:r>
        <w:rPr>
          <w:rFonts w:hint="eastAsia" w:ascii="宋体" w:hAnsi="宋体" w:eastAsia="宋体" w:cs="宋体"/>
          <w:color w:val="000000" w:themeColor="text1"/>
          <w:sz w:val="24"/>
          <w:szCs w:val="24"/>
          <w:highlight w:val="yellow"/>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w:t>
      </w:r>
    </w:p>
    <w:p w14:paraId="18A82231">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B＝在规定范围内的本次投标除C值外的任意一个评标价（甲方招标人代表随机抽取）。</w:t>
      </w:r>
    </w:p>
    <w:p w14:paraId="48A90A44">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C＝在规定范围内的本次开标最低评标价。</w:t>
      </w:r>
    </w:p>
    <w:p w14:paraId="23DB1619">
      <w:pPr>
        <w:pStyle w:val="3"/>
        <w:keepNext w:val="0"/>
        <w:keepLines w:val="0"/>
        <w:widowControl/>
        <w:suppressLineNumbers w:val="0"/>
        <w:spacing w:before="0" w:beforeAutospacing="0" w:after="0" w:afterAutospacing="0" w:line="400" w:lineRule="atLeast"/>
        <w:ind w:left="0" w:right="-82" w:firstLine="480"/>
        <w:jc w:val="left"/>
        <w:rPr>
          <w:rFonts w:hint="eastAsia" w:eastAsia="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Ｋ为下浮系数，取值范围为：</w:t>
      </w:r>
      <w:r>
        <w:rPr>
          <w:rFonts w:hint="eastAsia" w:ascii="宋体" w:hAnsi="宋体" w:eastAsia="宋体" w:cs="宋体"/>
          <w:color w:val="000000" w:themeColor="text1"/>
          <w:sz w:val="24"/>
          <w:szCs w:val="24"/>
          <w:highlight w:val="yellow"/>
          <w14:textFill>
            <w14:solidFill>
              <w14:schemeClr w14:val="tx1"/>
            </w14:solidFill>
          </w14:textFill>
        </w:rPr>
        <w:t>9</w:t>
      </w:r>
      <w:r>
        <w:rPr>
          <w:rFonts w:hint="eastAsia" w:cs="宋体"/>
          <w:color w:val="000000" w:themeColor="text1"/>
          <w:sz w:val="24"/>
          <w:szCs w:val="24"/>
          <w:highlight w:val="yellow"/>
          <w:lang w:val="en-US" w:eastAsia="zh-CN"/>
          <w14:textFill>
            <w14:solidFill>
              <w14:schemeClr w14:val="tx1"/>
            </w14:solidFill>
          </w14:textFill>
        </w:rPr>
        <w:t>5</w:t>
      </w:r>
      <w:r>
        <w:rPr>
          <w:rFonts w:hint="eastAsia" w:ascii="宋体" w:hAnsi="宋体" w:eastAsia="宋体" w:cs="宋体"/>
          <w:color w:val="000000" w:themeColor="text1"/>
          <w:sz w:val="24"/>
          <w:szCs w:val="24"/>
          <w:highlight w:val="yellow"/>
          <w14:textFill>
            <w14:solidFill>
              <w14:schemeClr w14:val="tx1"/>
            </w14:solidFill>
          </w14:textFill>
        </w:rPr>
        <w:t>%、9</w:t>
      </w:r>
      <w:r>
        <w:rPr>
          <w:rFonts w:hint="eastAsia" w:cs="宋体"/>
          <w:color w:val="000000" w:themeColor="text1"/>
          <w:sz w:val="24"/>
          <w:szCs w:val="24"/>
          <w:highlight w:val="yellow"/>
          <w:lang w:val="en-US" w:eastAsia="zh-CN"/>
          <w14:textFill>
            <w14:solidFill>
              <w14:schemeClr w14:val="tx1"/>
            </w14:solidFill>
          </w14:textFill>
        </w:rPr>
        <w:t>5.5</w:t>
      </w:r>
      <w:r>
        <w:rPr>
          <w:rFonts w:hint="eastAsia" w:ascii="宋体" w:hAnsi="宋体" w:eastAsia="宋体" w:cs="宋体"/>
          <w:color w:val="000000" w:themeColor="text1"/>
          <w:sz w:val="24"/>
          <w:szCs w:val="24"/>
          <w:highlight w:val="yellow"/>
          <w14:textFill>
            <w14:solidFill>
              <w14:schemeClr w14:val="tx1"/>
            </w14:solidFill>
          </w14:textFill>
        </w:rPr>
        <w:t>%、9</w:t>
      </w:r>
      <w:r>
        <w:rPr>
          <w:rFonts w:hint="eastAsia" w:cs="宋体"/>
          <w:color w:val="000000" w:themeColor="text1"/>
          <w:sz w:val="24"/>
          <w:szCs w:val="24"/>
          <w:highlight w:val="yellow"/>
          <w:lang w:val="en-US" w:eastAsia="zh-CN"/>
          <w14:textFill>
            <w14:solidFill>
              <w14:schemeClr w14:val="tx1"/>
            </w14:solidFill>
          </w14:textFill>
        </w:rPr>
        <w:t>6</w:t>
      </w:r>
      <w:r>
        <w:rPr>
          <w:rFonts w:hint="eastAsia" w:ascii="宋体" w:hAnsi="宋体" w:eastAsia="宋体" w:cs="宋体"/>
          <w:color w:val="000000" w:themeColor="text1"/>
          <w:sz w:val="24"/>
          <w:szCs w:val="24"/>
          <w:highlight w:val="yellow"/>
          <w14:textFill>
            <w14:solidFill>
              <w14:schemeClr w14:val="tx1"/>
            </w14:solidFill>
          </w14:textFill>
        </w:rPr>
        <w:t>%。</w:t>
      </w:r>
    </w:p>
    <w:p w14:paraId="46DF34C3">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规定范围内是指：</w:t>
      </w:r>
    </w:p>
    <w:p w14:paraId="766D6537">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(1)评标价≤最高投标限价×（100%-下浮率Δ）。</w:t>
      </w:r>
    </w:p>
    <w:p w14:paraId="13B7AD83">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(2)评标价≥所有通过第⑴步评审合格的投标人评标价算术平均值×90%。</w:t>
      </w:r>
    </w:p>
    <w:p w14:paraId="42FCD4E5">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(3)特殊情况处理：规定范围内的评标价只有一家时，B值和C值均取该评标价；没有符合规定范围内的评标价时，本工程流标。</w:t>
      </w:r>
    </w:p>
    <w:p w14:paraId="78421C6B">
      <w:pPr>
        <w:pStyle w:val="3"/>
        <w:keepNext w:val="0"/>
        <w:keepLines w:val="0"/>
        <w:widowControl/>
        <w:suppressLineNumbers w:val="0"/>
        <w:spacing w:before="0" w:beforeAutospacing="0" w:after="0" w:afterAutospacing="0" w:line="400" w:lineRule="atLeast"/>
        <w:ind w:left="0" w:right="-82" w:firstLine="480"/>
        <w:jc w:val="lef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2、有效投标文件的评标价等于评标基准价的得满分（100分），评标价相对评标基准价每高1%扣0.9分，每低1%扣0.6分，不足1%的，按照插入法计算得分，分值按四舍五入取二位小数。</w:t>
      </w:r>
    </w:p>
    <w:p w14:paraId="1121D1AB">
      <w:pPr>
        <w:pStyle w:val="3"/>
        <w:keepNext w:val="0"/>
        <w:keepLines w:val="0"/>
        <w:widowControl/>
        <w:suppressLineNumbers w:val="0"/>
        <w:spacing w:before="0" w:beforeAutospacing="0" w:after="0" w:afterAutospacing="0" w:line="400" w:lineRule="atLeast"/>
        <w:ind w:left="0" w:right="-82"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评标细则说明：</w:t>
      </w:r>
    </w:p>
    <w:p w14:paraId="5581D38F">
      <w:pPr>
        <w:pStyle w:val="3"/>
        <w:keepNext w:val="0"/>
        <w:keepLines w:val="0"/>
        <w:widowControl/>
        <w:suppressLineNumbers w:val="0"/>
        <w:spacing w:before="0" w:beforeAutospacing="0" w:after="0" w:afterAutospacing="0" w:line="400" w:lineRule="atLeast"/>
        <w:ind w:left="0" w:right="-82"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1、有效投标文件是指评标委员会初步评审合格的投标文件</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评标价指经澄清、补正和修正算术错误的投标报价。</w:t>
      </w:r>
    </w:p>
    <w:p w14:paraId="2838F861">
      <w:pPr>
        <w:pStyle w:val="3"/>
        <w:keepNext w:val="0"/>
        <w:keepLines w:val="0"/>
        <w:widowControl/>
        <w:suppressLineNumbers w:val="0"/>
        <w:spacing w:before="0" w:beforeAutospacing="0" w:after="0" w:afterAutospacing="0" w:line="400" w:lineRule="atLeast"/>
        <w:ind w:left="0" w:right="-82"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2、不参与评标基准价计算的有效投标文件均不影响其评标及推荐为中标候选人。</w:t>
      </w:r>
    </w:p>
    <w:p w14:paraId="2FE8C987">
      <w:pPr>
        <w:pStyle w:val="3"/>
        <w:keepNext w:val="0"/>
        <w:keepLines w:val="0"/>
        <w:widowControl/>
        <w:suppressLineNumbers w:val="0"/>
        <w:spacing w:before="0" w:beforeAutospacing="0" w:after="0" w:afterAutospacing="0" w:line="400" w:lineRule="atLeast"/>
        <w:ind w:left="0" w:right="-82" w:firstLine="48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r>
        <w:rPr>
          <w:rFonts w:hint="eastAsia" w:ascii="宋体" w:hAnsi="宋体" w:eastAsia="宋体" w:cs="宋体"/>
          <w:color w:val="000000" w:themeColor="text1"/>
          <w:sz w:val="24"/>
          <w:szCs w:val="24"/>
          <w:highlight w:val="none"/>
          <w:lang w:val="en-US" w:eastAsia="zh-CN"/>
          <w14:textFill>
            <w14:solidFill>
              <w14:schemeClr w14:val="tx1"/>
            </w14:solidFill>
          </w14:textFill>
        </w:rPr>
        <w:t>相关数值的抽取</w:t>
      </w:r>
      <w:r>
        <w:rPr>
          <w:rFonts w:hint="eastAsia" w:cs="宋体"/>
          <w:color w:val="000000" w:themeColor="text1"/>
          <w:sz w:val="24"/>
          <w:szCs w:val="24"/>
          <w:highlight w:val="none"/>
          <w:lang w:val="en-US" w:eastAsia="zh-CN"/>
          <w14:textFill>
            <w14:solidFill>
              <w14:schemeClr w14:val="tx1"/>
            </w14:solidFill>
          </w14:textFill>
        </w:rPr>
        <w:t>及确定评标基准价</w:t>
      </w:r>
      <w:r>
        <w:rPr>
          <w:rFonts w:hint="eastAsia" w:ascii="宋体" w:hAnsi="宋体" w:eastAsia="宋体" w:cs="宋体"/>
          <w:color w:val="000000" w:themeColor="text1"/>
          <w:sz w:val="24"/>
          <w:szCs w:val="24"/>
          <w:highlight w:val="none"/>
          <w:lang w:val="en-US" w:eastAsia="zh-CN"/>
          <w14:textFill>
            <w14:solidFill>
              <w14:schemeClr w14:val="tx1"/>
            </w14:solidFill>
          </w14:textFill>
        </w:rPr>
        <w:t>在招标人(招标代理机构)完成评标准备工作,评标委员会完成初步评审,并经评标委员会所有评委认可确定有效投标文件后在开标现场随机抽取，抽取人为招标人代表,抽取范围为经所有评委认可确定的有效投标文件。初步评审不合格的投标文件不参与评标基准价的计算。(相关数值只抽取一次,不因后续评审、质疑、投诉、复议及其他任何情形而改变,抽值时数值录入错误除外)</w:t>
      </w:r>
    </w:p>
    <w:p w14:paraId="47392F10">
      <w:pPr>
        <w:pStyle w:val="3"/>
        <w:keepNext w:val="0"/>
        <w:keepLines w:val="0"/>
        <w:widowControl/>
        <w:suppressLineNumbers w:val="0"/>
        <w:spacing w:before="0" w:beforeAutospacing="0" w:after="0" w:afterAutospacing="0" w:line="400" w:lineRule="atLeast"/>
        <w:ind w:left="0" w:right="-82"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4、相关数值抽取后,在抽取现场确定评标基准价,评标基准价确定后不因招投标当事人质疑、投诉、复议以及其他任何情形而改变(计算错误应作调整)。</w:t>
      </w:r>
    </w:p>
    <w:p w14:paraId="30F3528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F64E75"/>
    <w:rsid w:val="45FA4B3D"/>
    <w:rsid w:val="69824723"/>
    <w:rsid w:val="726162CB"/>
    <w:rsid w:val="7FDD0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2023-04-18T08:49:00Z</dcterms:created>
  <dc:creator>Administrator</dc:creator>
  <cp:lastModifiedBy>王岳平</cp:lastModifiedBy>
  <dcterms:modified xsi:type="dcterms:W3CDTF">2025-11-04T11:28:46Z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27A01BDA55194D908949E20AC577304F_12</vt:lpwstr>
  </property>
  <property fmtid="{D5CDD505-2E9C-101B-9397-08002B2CF9AE}" pid="4" name="KSOTemplateDocerSaveRecord">
    <vt:lpwstr>eyJoZGlkIjoiYThlMzdiZjAzZTljOTJiNzFhNDMyZWRjMGQxYzZiMjgiLCJ1c2VySWQiOiIzNTM1NDA5NDkifQ==</vt:lpwstr>
  </property>
</Properties>
</file>