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B30F2">
      <w:pPr>
        <w:tabs>
          <w:tab w:val="left" w:pos="0"/>
          <w:tab w:val="left" w:pos="993"/>
        </w:tabs>
        <w:spacing w:line="560" w:lineRule="exact"/>
        <w:jc w:val="center"/>
        <w:rPr>
          <w:rFonts w:ascii="宋体" w:hAnsi="宋体"/>
          <w:b/>
          <w:bCs/>
          <w:sz w:val="28"/>
          <w:szCs w:val="28"/>
        </w:rPr>
      </w:pPr>
      <w:bookmarkStart w:id="2" w:name="_GoBack"/>
      <w:r>
        <w:rPr>
          <w:rFonts w:hint="eastAsia" w:ascii="宋体" w:hAnsi="宋体"/>
          <w:b/>
          <w:bCs/>
          <w:sz w:val="28"/>
          <w:szCs w:val="28"/>
        </w:rPr>
        <w:t>评标、定标细则</w:t>
      </w:r>
    </w:p>
    <w:bookmarkEnd w:id="2"/>
    <w:p w14:paraId="678FBBD5">
      <w:pPr>
        <w:pStyle w:val="9"/>
        <w:ind w:firstLine="0" w:firstLineChars="0"/>
      </w:pPr>
    </w:p>
    <w:p w14:paraId="0E92D742">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项目采用评标方法为综合评估法（评定分离采用定量+定性评审，两阶段评标）。评审因素包括商务技术、经济等。评委综合各投标人所有评审因素择优推荐5名定标候选人（若少于5名则全部入围）。由招标人组建的定标委员会，采用票决定标法在评标委员会推荐的定标候选人中确定1-3名中标候选人。定标委员会如认为定标候选人设计文件、项目管理组织方案均不能满足招标要求，可以否决所有定标候选人，并不确定中标人。详见招标文件第三章评标、定标办法。</w:t>
      </w:r>
    </w:p>
    <w:p w14:paraId="25E7BAF1">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一、初步评审</w:t>
      </w:r>
    </w:p>
    <w:p w14:paraId="4AC9184A">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投标文件响应招标文件实质性要求，按招标文件初步评审标准评审合格。不符合要求的，作废标处理。</w:t>
      </w:r>
    </w:p>
    <w:p w14:paraId="1CA3C218">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二、详细评审</w:t>
      </w:r>
    </w:p>
    <w:p w14:paraId="3BC3104E">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对投标文件评审实行两阶段评标。评审顺序：第一阶段：商务技术评审；第二阶段：经济文件评审。</w:t>
      </w:r>
    </w:p>
    <w:p w14:paraId="34B8C03B">
      <w:pPr>
        <w:shd w:val="clear" w:color="auto" w:fill="auto"/>
        <w:tabs>
          <w:tab w:val="left" w:pos="993"/>
        </w:tabs>
        <w:spacing w:line="500" w:lineRule="atLeas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第一阶段先进行商务技术文件(包含资格审查文件)开标评标。评标委员会按照评标方案规定的商务技术(设计方案、商务标) 评分标准对通过资格审查的投标文件进行打分，选择商务技术文件得分汇总排前几名的投标人（投标人超过 16 个（含）的，取前 11 名；投标人为 12-15个（含）的，取前 9 名；投标人为 9-11个（含）的，取前 7名）；投标人为8个及以下的，取前5名；末位得分相同的投标人同时进入第二阶段。当进入第一阶段的投标人数量≤5名时，所有有效投标文件均进入第二阶段评审，但仍应按照招标文件对所有投标文件的商务技术文件进行评审，作为招标人定标参考依据。</w:t>
      </w:r>
    </w:p>
    <w:p w14:paraId="363430C6">
      <w:pPr>
        <w:numPr>
          <w:ilvl w:val="0"/>
          <w:numId w:val="1"/>
        </w:numPr>
        <w:shd w:val="clear" w:color="auto" w:fill="auto"/>
        <w:tabs>
          <w:tab w:val="left" w:pos="993"/>
        </w:tabs>
        <w:spacing w:line="500" w:lineRule="atLeast"/>
        <w:rPr>
          <w:rFonts w:hint="eastAsia" w:ascii="宋体" w:hAnsi="宋体" w:eastAsia="宋体" w:cs="宋体"/>
          <w:b/>
          <w:bCs/>
          <w:color w:val="auto"/>
          <w:sz w:val="28"/>
          <w:szCs w:val="28"/>
          <w:highlight w:val="none"/>
        </w:rPr>
      </w:pPr>
      <w:r>
        <w:rPr>
          <w:rFonts w:hint="eastAsia" w:ascii="宋体" w:hAnsi="宋体" w:eastAsia="宋体" w:cs="宋体"/>
          <w:b/>
          <w:color w:val="auto"/>
          <w:sz w:val="28"/>
          <w:szCs w:val="28"/>
          <w:highlight w:val="none"/>
          <w:lang w:val="zh-CN"/>
        </w:rPr>
        <w:t>第一阶段技术标评审内容：（</w:t>
      </w:r>
      <w:r>
        <w:rPr>
          <w:rFonts w:hint="eastAsia" w:ascii="宋体" w:hAnsi="宋体" w:eastAsia="宋体" w:cs="宋体"/>
          <w:b/>
          <w:color w:val="auto"/>
          <w:sz w:val="28"/>
          <w:szCs w:val="28"/>
          <w:highlight w:val="none"/>
          <w:lang w:val="en-US" w:eastAsia="zh-CN"/>
        </w:rPr>
        <w:t>80</w:t>
      </w:r>
      <w:r>
        <w:rPr>
          <w:rFonts w:hint="eastAsia" w:ascii="宋体" w:hAnsi="宋体" w:eastAsia="宋体" w:cs="宋体"/>
          <w:b/>
          <w:color w:val="auto"/>
          <w:sz w:val="28"/>
          <w:szCs w:val="28"/>
          <w:highlight w:val="none"/>
          <w:lang w:val="zh-CN"/>
        </w:rPr>
        <w:t>分）</w:t>
      </w:r>
      <w:r>
        <w:rPr>
          <w:rFonts w:hint="eastAsia" w:ascii="宋体" w:hAnsi="宋体" w:eastAsia="宋体" w:cs="宋体"/>
          <w:b/>
          <w:bCs/>
          <w:color w:val="auto"/>
          <w:sz w:val="28"/>
          <w:szCs w:val="28"/>
          <w:highlight w:val="none"/>
        </w:rPr>
        <w:t>(暗标)</w:t>
      </w:r>
    </w:p>
    <w:tbl>
      <w:tblPr>
        <w:tblStyle w:val="6"/>
        <w:tblpPr w:leftFromText="180" w:rightFromText="180" w:vertAnchor="text" w:horzAnchor="page" w:tblpX="1276" w:tblpY="493"/>
        <w:tblOverlap w:val="never"/>
        <w:tblW w:w="47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14"/>
        <w:gridCol w:w="627"/>
        <w:gridCol w:w="5215"/>
      </w:tblGrid>
      <w:tr w14:paraId="12B4B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543" w:type="pct"/>
            <w:noWrap w:val="0"/>
            <w:vAlign w:val="center"/>
          </w:tcPr>
          <w:p w14:paraId="5DECCE0A">
            <w:pPr>
              <w:textAlignment w:val="baseline"/>
              <w:rPr>
                <w:rFonts w:hint="eastAsia" w:ascii="华文仿宋" w:hAnsi="华文仿宋" w:eastAsia="华文仿宋"/>
                <w:sz w:val="28"/>
                <w:szCs w:val="28"/>
              </w:rPr>
            </w:pPr>
            <w:r>
              <w:rPr>
                <w:rFonts w:hint="eastAsia" w:ascii="华文仿宋" w:hAnsi="华文仿宋" w:eastAsia="华文仿宋"/>
                <w:sz w:val="28"/>
                <w:szCs w:val="28"/>
              </w:rPr>
              <w:t>序号</w:t>
            </w:r>
          </w:p>
        </w:tc>
        <w:tc>
          <w:tcPr>
            <w:tcW w:w="868" w:type="pct"/>
            <w:noWrap w:val="0"/>
            <w:vAlign w:val="center"/>
          </w:tcPr>
          <w:p w14:paraId="3AA32F69">
            <w:pPr>
              <w:textAlignment w:val="baseline"/>
              <w:rPr>
                <w:rFonts w:hint="eastAsia" w:ascii="华文仿宋" w:hAnsi="华文仿宋" w:eastAsia="华文仿宋"/>
                <w:sz w:val="28"/>
                <w:szCs w:val="28"/>
              </w:rPr>
            </w:pPr>
            <w:r>
              <w:rPr>
                <w:rFonts w:hint="eastAsia" w:ascii="华文仿宋" w:hAnsi="华文仿宋" w:eastAsia="华文仿宋"/>
                <w:sz w:val="28"/>
                <w:szCs w:val="28"/>
              </w:rPr>
              <w:t>评审项目</w:t>
            </w:r>
          </w:p>
        </w:tc>
        <w:tc>
          <w:tcPr>
            <w:tcW w:w="384" w:type="pct"/>
            <w:noWrap w:val="0"/>
            <w:vAlign w:val="center"/>
          </w:tcPr>
          <w:p w14:paraId="6716839F">
            <w:pPr>
              <w:widowControl/>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分值</w:t>
            </w:r>
          </w:p>
        </w:tc>
        <w:tc>
          <w:tcPr>
            <w:tcW w:w="3203" w:type="pct"/>
            <w:noWrap w:val="0"/>
            <w:vAlign w:val="center"/>
          </w:tcPr>
          <w:p w14:paraId="78767F7B">
            <w:pPr>
              <w:textAlignment w:val="baseline"/>
              <w:rPr>
                <w:rFonts w:hint="eastAsia" w:ascii="华文仿宋" w:hAnsi="华文仿宋" w:eastAsia="华文仿宋"/>
                <w:sz w:val="28"/>
                <w:szCs w:val="28"/>
              </w:rPr>
            </w:pPr>
            <w:r>
              <w:rPr>
                <w:rFonts w:hint="eastAsia" w:ascii="华文仿宋" w:hAnsi="华文仿宋" w:eastAsia="华文仿宋"/>
                <w:sz w:val="28"/>
                <w:szCs w:val="28"/>
              </w:rPr>
              <w:t>评审细则</w:t>
            </w:r>
          </w:p>
        </w:tc>
      </w:tr>
      <w:tr w14:paraId="21A5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543" w:type="pct"/>
            <w:vMerge w:val="restart"/>
            <w:noWrap w:val="0"/>
            <w:vAlign w:val="center"/>
          </w:tcPr>
          <w:p w14:paraId="3EA3C468">
            <w:pPr>
              <w:jc w:val="center"/>
              <w:textAlignment w:val="baseline"/>
              <w:rPr>
                <w:rFonts w:hint="eastAsia" w:ascii="华文仿宋" w:hAnsi="华文仿宋" w:eastAsia="华文仿宋"/>
                <w:b/>
                <w:bCs/>
                <w:sz w:val="28"/>
                <w:szCs w:val="28"/>
              </w:rPr>
            </w:pPr>
          </w:p>
        </w:tc>
        <w:tc>
          <w:tcPr>
            <w:tcW w:w="868" w:type="pct"/>
            <w:vMerge w:val="restart"/>
            <w:noWrap w:val="0"/>
            <w:vAlign w:val="center"/>
          </w:tcPr>
          <w:p w14:paraId="33E85344">
            <w:pPr>
              <w:jc w:val="center"/>
              <w:textAlignment w:val="baseline"/>
              <w:rPr>
                <w:rFonts w:hint="eastAsia" w:ascii="华文仿宋" w:hAnsi="华文仿宋" w:eastAsia="华文仿宋"/>
                <w:b/>
                <w:bCs/>
                <w:sz w:val="28"/>
                <w:szCs w:val="28"/>
              </w:rPr>
            </w:pPr>
            <w:r>
              <w:rPr>
                <w:rFonts w:hint="eastAsia" w:ascii="华文仿宋" w:hAnsi="华文仿宋" w:eastAsia="华文仿宋"/>
                <w:b/>
                <w:bCs/>
                <w:sz w:val="28"/>
                <w:szCs w:val="28"/>
              </w:rPr>
              <w:t>前期研究</w:t>
            </w:r>
          </w:p>
          <w:p w14:paraId="69DF2B50">
            <w:pPr>
              <w:jc w:val="center"/>
              <w:textAlignment w:val="baseline"/>
              <w:rPr>
                <w:rFonts w:hint="eastAsia" w:ascii="华文仿宋" w:hAnsi="华文仿宋" w:eastAsia="华文仿宋"/>
                <w:b/>
                <w:bCs/>
                <w:sz w:val="28"/>
                <w:szCs w:val="28"/>
              </w:rPr>
            </w:pPr>
            <w:r>
              <w:rPr>
                <w:rFonts w:hint="eastAsia" w:ascii="华文仿宋" w:hAnsi="华文仿宋" w:eastAsia="华文仿宋"/>
                <w:b/>
                <w:bCs/>
                <w:sz w:val="28"/>
                <w:szCs w:val="28"/>
              </w:rPr>
              <w:t>（20）</w:t>
            </w:r>
          </w:p>
        </w:tc>
        <w:tc>
          <w:tcPr>
            <w:tcW w:w="384" w:type="pct"/>
            <w:noWrap w:val="0"/>
            <w:vAlign w:val="center"/>
          </w:tcPr>
          <w:p w14:paraId="0B397032">
            <w:pPr>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5</w:t>
            </w:r>
          </w:p>
        </w:tc>
        <w:tc>
          <w:tcPr>
            <w:tcW w:w="3203" w:type="pct"/>
            <w:noWrap w:val="0"/>
            <w:vAlign w:val="center"/>
          </w:tcPr>
          <w:p w14:paraId="0E275789">
            <w:pPr>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根据投标人对本项目的</w:t>
            </w:r>
            <w:r>
              <w:rPr>
                <w:rFonts w:hint="eastAsia" w:ascii="华文仿宋" w:hAnsi="华文仿宋" w:eastAsia="华文仿宋"/>
                <w:b/>
                <w:bCs/>
                <w:sz w:val="28"/>
                <w:szCs w:val="28"/>
              </w:rPr>
              <w:t>区位</w:t>
            </w:r>
            <w:r>
              <w:rPr>
                <w:rFonts w:ascii="华文仿宋" w:hAnsi="华文仿宋" w:eastAsia="华文仿宋"/>
                <w:b/>
                <w:bCs/>
                <w:sz w:val="28"/>
                <w:szCs w:val="28"/>
              </w:rPr>
              <w:t>及</w:t>
            </w:r>
            <w:r>
              <w:rPr>
                <w:rFonts w:hint="eastAsia" w:ascii="华文仿宋" w:hAnsi="华文仿宋" w:eastAsia="华文仿宋"/>
                <w:b/>
                <w:bCs/>
                <w:sz w:val="28"/>
                <w:szCs w:val="28"/>
              </w:rPr>
              <w:t>背景解读</w:t>
            </w:r>
            <w:r>
              <w:rPr>
                <w:rFonts w:hint="eastAsia" w:ascii="华文仿宋" w:hAnsi="华文仿宋" w:eastAsia="华文仿宋"/>
                <w:sz w:val="28"/>
                <w:szCs w:val="28"/>
              </w:rPr>
              <w:t>是否准确、全面进行打分。未有相应体现的不得分。</w:t>
            </w:r>
          </w:p>
        </w:tc>
      </w:tr>
      <w:tr w14:paraId="659AA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543" w:type="pct"/>
            <w:vMerge w:val="continue"/>
            <w:noWrap w:val="0"/>
            <w:vAlign w:val="center"/>
          </w:tcPr>
          <w:p w14:paraId="650CACF1">
            <w:pPr>
              <w:textAlignment w:val="baseline"/>
              <w:rPr>
                <w:rFonts w:hint="eastAsia" w:ascii="华文仿宋" w:hAnsi="华文仿宋" w:eastAsia="华文仿宋"/>
                <w:sz w:val="28"/>
                <w:szCs w:val="28"/>
              </w:rPr>
            </w:pPr>
          </w:p>
        </w:tc>
        <w:tc>
          <w:tcPr>
            <w:tcW w:w="868" w:type="pct"/>
            <w:vMerge w:val="continue"/>
            <w:noWrap w:val="0"/>
            <w:vAlign w:val="center"/>
          </w:tcPr>
          <w:p w14:paraId="78F105F8">
            <w:pPr>
              <w:textAlignment w:val="baseline"/>
              <w:rPr>
                <w:rFonts w:hint="eastAsia" w:ascii="华文仿宋" w:hAnsi="华文仿宋" w:eastAsia="华文仿宋"/>
                <w:sz w:val="28"/>
                <w:szCs w:val="28"/>
              </w:rPr>
            </w:pPr>
          </w:p>
        </w:tc>
        <w:tc>
          <w:tcPr>
            <w:tcW w:w="384" w:type="pct"/>
            <w:noWrap w:val="0"/>
            <w:vAlign w:val="center"/>
          </w:tcPr>
          <w:p w14:paraId="339369EC">
            <w:pPr>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5</w:t>
            </w:r>
          </w:p>
        </w:tc>
        <w:tc>
          <w:tcPr>
            <w:tcW w:w="3203" w:type="pct"/>
            <w:noWrap w:val="0"/>
            <w:vAlign w:val="center"/>
          </w:tcPr>
          <w:p w14:paraId="3A3EF4B8">
            <w:pPr>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根据投标人对项目</w:t>
            </w:r>
            <w:r>
              <w:rPr>
                <w:rFonts w:hint="eastAsia" w:ascii="华文仿宋" w:hAnsi="华文仿宋" w:eastAsia="华文仿宋"/>
                <w:b/>
                <w:bCs/>
                <w:sz w:val="28"/>
                <w:szCs w:val="28"/>
              </w:rPr>
              <w:t>现状分析</w:t>
            </w:r>
            <w:r>
              <w:rPr>
                <w:rFonts w:hint="eastAsia" w:ascii="华文仿宋" w:hAnsi="华文仿宋" w:eastAsia="华文仿宋"/>
                <w:sz w:val="28"/>
                <w:szCs w:val="28"/>
              </w:rPr>
              <w:t>（包括现状用地、建筑质量诊断</w:t>
            </w:r>
            <w:r>
              <w:rPr>
                <w:rFonts w:ascii="华文仿宋" w:hAnsi="华文仿宋" w:eastAsia="华文仿宋"/>
                <w:sz w:val="28"/>
                <w:szCs w:val="28"/>
              </w:rPr>
              <w:t>、</w:t>
            </w:r>
            <w:r>
              <w:rPr>
                <w:rFonts w:hint="eastAsia" w:ascii="华文仿宋" w:hAnsi="华文仿宋" w:eastAsia="华文仿宋"/>
                <w:sz w:val="28"/>
                <w:szCs w:val="28"/>
              </w:rPr>
              <w:t>人员需求分析、功能转型中存在问题等）是否准确、全面进行打分。未有相应体现的不得分。</w:t>
            </w:r>
          </w:p>
        </w:tc>
      </w:tr>
      <w:tr w14:paraId="6FA45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543" w:type="pct"/>
            <w:vMerge w:val="continue"/>
            <w:noWrap w:val="0"/>
            <w:vAlign w:val="center"/>
          </w:tcPr>
          <w:p w14:paraId="513C31FE">
            <w:pPr>
              <w:textAlignment w:val="baseline"/>
              <w:rPr>
                <w:rFonts w:hint="eastAsia" w:ascii="华文仿宋" w:hAnsi="华文仿宋" w:eastAsia="华文仿宋"/>
                <w:sz w:val="28"/>
                <w:szCs w:val="28"/>
              </w:rPr>
            </w:pPr>
          </w:p>
        </w:tc>
        <w:tc>
          <w:tcPr>
            <w:tcW w:w="868" w:type="pct"/>
            <w:vMerge w:val="continue"/>
            <w:noWrap w:val="0"/>
            <w:vAlign w:val="center"/>
          </w:tcPr>
          <w:p w14:paraId="7DDEF88B">
            <w:pPr>
              <w:textAlignment w:val="baseline"/>
              <w:rPr>
                <w:rFonts w:hint="eastAsia" w:ascii="华文仿宋" w:hAnsi="华文仿宋" w:eastAsia="华文仿宋"/>
                <w:sz w:val="28"/>
                <w:szCs w:val="28"/>
              </w:rPr>
            </w:pPr>
          </w:p>
        </w:tc>
        <w:tc>
          <w:tcPr>
            <w:tcW w:w="384" w:type="pct"/>
            <w:noWrap w:val="0"/>
            <w:vAlign w:val="center"/>
          </w:tcPr>
          <w:p w14:paraId="6E0C51E0">
            <w:pPr>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10</w:t>
            </w:r>
          </w:p>
        </w:tc>
        <w:tc>
          <w:tcPr>
            <w:tcW w:w="3203" w:type="pct"/>
            <w:noWrap w:val="0"/>
            <w:vAlign w:val="center"/>
          </w:tcPr>
          <w:p w14:paraId="11EEA0B0">
            <w:pPr>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根据投标人针对现状分析提出的</w:t>
            </w:r>
            <w:r>
              <w:rPr>
                <w:rFonts w:hint="eastAsia" w:ascii="华文仿宋" w:hAnsi="华文仿宋" w:eastAsia="华文仿宋"/>
                <w:b/>
                <w:bCs/>
                <w:sz w:val="28"/>
                <w:szCs w:val="28"/>
              </w:rPr>
              <w:t>业态策划及功能优化</w:t>
            </w:r>
            <w:r>
              <w:rPr>
                <w:rFonts w:hint="eastAsia" w:ascii="华文仿宋" w:hAnsi="华文仿宋" w:eastAsia="华文仿宋"/>
                <w:sz w:val="28"/>
                <w:szCs w:val="28"/>
              </w:rPr>
              <w:t>的否合理准确、是否具备可持续运营能力进行打分。未有相应体现的不得分。</w:t>
            </w:r>
          </w:p>
        </w:tc>
      </w:tr>
      <w:tr w14:paraId="13F4E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543" w:type="pct"/>
            <w:vMerge w:val="restart"/>
            <w:noWrap w:val="0"/>
            <w:vAlign w:val="center"/>
          </w:tcPr>
          <w:p w14:paraId="7D182438">
            <w:pPr>
              <w:adjustRightInd w:val="0"/>
              <w:snapToGrid w:val="0"/>
              <w:jc w:val="center"/>
              <w:textAlignment w:val="baseline"/>
              <w:rPr>
                <w:rFonts w:hint="eastAsia" w:ascii="华文仿宋" w:hAnsi="华文仿宋" w:eastAsia="华文仿宋"/>
                <w:b/>
                <w:bCs/>
                <w:sz w:val="28"/>
                <w:szCs w:val="28"/>
              </w:rPr>
            </w:pPr>
          </w:p>
        </w:tc>
        <w:tc>
          <w:tcPr>
            <w:tcW w:w="868" w:type="pct"/>
            <w:vMerge w:val="restart"/>
            <w:noWrap w:val="0"/>
            <w:vAlign w:val="center"/>
          </w:tcPr>
          <w:p w14:paraId="6E963A66">
            <w:pPr>
              <w:adjustRightInd w:val="0"/>
              <w:snapToGrid w:val="0"/>
              <w:jc w:val="center"/>
              <w:textAlignment w:val="baseline"/>
              <w:rPr>
                <w:rFonts w:hint="eastAsia" w:ascii="华文仿宋" w:hAnsi="华文仿宋" w:eastAsia="华文仿宋"/>
                <w:b/>
                <w:bCs/>
                <w:sz w:val="28"/>
                <w:szCs w:val="28"/>
              </w:rPr>
            </w:pPr>
            <w:r>
              <w:rPr>
                <w:rFonts w:hint="eastAsia" w:ascii="华文仿宋" w:hAnsi="华文仿宋" w:eastAsia="华文仿宋"/>
                <w:b/>
                <w:bCs/>
                <w:sz w:val="28"/>
                <w:szCs w:val="28"/>
              </w:rPr>
              <w:t>建筑设计方案</w:t>
            </w:r>
          </w:p>
          <w:p w14:paraId="418AAA9B">
            <w:pPr>
              <w:adjustRightInd w:val="0"/>
              <w:snapToGrid w:val="0"/>
              <w:jc w:val="center"/>
              <w:textAlignment w:val="baseline"/>
              <w:rPr>
                <w:rFonts w:hint="eastAsia" w:ascii="华文仿宋" w:hAnsi="华文仿宋" w:eastAsia="华文仿宋"/>
                <w:b/>
                <w:bCs/>
                <w:sz w:val="28"/>
                <w:szCs w:val="28"/>
              </w:rPr>
            </w:pPr>
            <w:r>
              <w:rPr>
                <w:rFonts w:hint="eastAsia" w:ascii="华文仿宋" w:hAnsi="华文仿宋" w:eastAsia="华文仿宋"/>
                <w:b/>
                <w:bCs/>
                <w:sz w:val="28"/>
                <w:szCs w:val="28"/>
              </w:rPr>
              <w:t>（55）</w:t>
            </w:r>
          </w:p>
        </w:tc>
        <w:tc>
          <w:tcPr>
            <w:tcW w:w="384" w:type="pct"/>
            <w:noWrap w:val="0"/>
            <w:vAlign w:val="center"/>
          </w:tcPr>
          <w:p w14:paraId="01944A49">
            <w:pPr>
              <w:jc w:val="center"/>
              <w:textAlignment w:val="baseline"/>
              <w:rPr>
                <w:rFonts w:hint="eastAsia" w:ascii="华文仿宋" w:hAnsi="华文仿宋" w:eastAsia="华文仿宋"/>
                <w:sz w:val="28"/>
                <w:szCs w:val="28"/>
              </w:rPr>
            </w:pPr>
            <w:r>
              <w:rPr>
                <w:rFonts w:ascii="华文仿宋" w:hAnsi="华文仿宋" w:eastAsia="华文仿宋"/>
                <w:sz w:val="28"/>
                <w:szCs w:val="28"/>
              </w:rPr>
              <w:t>1</w:t>
            </w:r>
            <w:r>
              <w:rPr>
                <w:rFonts w:hint="eastAsia" w:ascii="华文仿宋" w:hAnsi="华文仿宋" w:eastAsia="华文仿宋"/>
                <w:sz w:val="28"/>
                <w:szCs w:val="28"/>
              </w:rPr>
              <w:t>0</w:t>
            </w:r>
          </w:p>
        </w:tc>
        <w:tc>
          <w:tcPr>
            <w:tcW w:w="3203" w:type="pct"/>
            <w:noWrap w:val="0"/>
            <w:vAlign w:val="center"/>
          </w:tcPr>
          <w:p w14:paraId="6C0707F1">
            <w:pPr>
              <w:autoSpaceDE w:val="0"/>
              <w:autoSpaceDN w:val="0"/>
              <w:adjustRightInd w:val="0"/>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根据投标人针对本项目提供的</w:t>
            </w:r>
            <w:r>
              <w:rPr>
                <w:rFonts w:hint="eastAsia" w:ascii="华文仿宋" w:hAnsi="华文仿宋" w:eastAsia="华文仿宋"/>
                <w:b/>
                <w:bCs/>
                <w:sz w:val="28"/>
                <w:szCs w:val="28"/>
              </w:rPr>
              <w:t>总体设计方案</w:t>
            </w:r>
            <w:r>
              <w:rPr>
                <w:rFonts w:ascii="华文仿宋" w:hAnsi="华文仿宋" w:eastAsia="华文仿宋"/>
                <w:sz w:val="28"/>
                <w:szCs w:val="28"/>
              </w:rPr>
              <w:t>（</w:t>
            </w:r>
            <w:r>
              <w:rPr>
                <w:rFonts w:hint="eastAsia" w:ascii="华文仿宋" w:hAnsi="华文仿宋" w:eastAsia="华文仿宋"/>
                <w:sz w:val="28"/>
                <w:szCs w:val="28"/>
              </w:rPr>
              <w:t>包括功能</w:t>
            </w:r>
            <w:r>
              <w:rPr>
                <w:rFonts w:ascii="华文仿宋" w:hAnsi="华文仿宋" w:eastAsia="华文仿宋"/>
                <w:sz w:val="28"/>
                <w:szCs w:val="28"/>
              </w:rPr>
              <w:t>布局、交通组织等）</w:t>
            </w:r>
            <w:r>
              <w:rPr>
                <w:rFonts w:hint="eastAsia" w:ascii="华文仿宋" w:hAnsi="华文仿宋" w:eastAsia="华文仿宋"/>
                <w:sz w:val="28"/>
                <w:szCs w:val="28"/>
              </w:rPr>
              <w:t>是否合理、有针对性进行打分。</w:t>
            </w:r>
          </w:p>
        </w:tc>
      </w:tr>
      <w:tr w14:paraId="354F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3" w:type="pct"/>
            <w:vMerge w:val="continue"/>
            <w:noWrap w:val="0"/>
            <w:vAlign w:val="center"/>
          </w:tcPr>
          <w:p w14:paraId="6A60DEA5">
            <w:pPr>
              <w:autoSpaceDE w:val="0"/>
              <w:autoSpaceDN w:val="0"/>
              <w:adjustRightInd w:val="0"/>
              <w:textAlignment w:val="baseline"/>
              <w:rPr>
                <w:rFonts w:hint="eastAsia" w:ascii="华文仿宋" w:hAnsi="华文仿宋" w:eastAsia="华文仿宋"/>
                <w:sz w:val="28"/>
                <w:szCs w:val="28"/>
              </w:rPr>
            </w:pPr>
          </w:p>
        </w:tc>
        <w:tc>
          <w:tcPr>
            <w:tcW w:w="868" w:type="pct"/>
            <w:vMerge w:val="continue"/>
            <w:noWrap w:val="0"/>
            <w:vAlign w:val="center"/>
          </w:tcPr>
          <w:p w14:paraId="309BDEB6">
            <w:pPr>
              <w:autoSpaceDE w:val="0"/>
              <w:autoSpaceDN w:val="0"/>
              <w:adjustRightInd w:val="0"/>
              <w:textAlignment w:val="baseline"/>
              <w:rPr>
                <w:rFonts w:hint="eastAsia" w:ascii="华文仿宋" w:hAnsi="华文仿宋" w:eastAsia="华文仿宋"/>
                <w:sz w:val="28"/>
                <w:szCs w:val="28"/>
              </w:rPr>
            </w:pPr>
          </w:p>
        </w:tc>
        <w:tc>
          <w:tcPr>
            <w:tcW w:w="384" w:type="pct"/>
            <w:noWrap w:val="0"/>
            <w:vAlign w:val="center"/>
          </w:tcPr>
          <w:p w14:paraId="5C5816BF">
            <w:pPr>
              <w:jc w:val="center"/>
              <w:textAlignment w:val="baseline"/>
              <w:rPr>
                <w:rFonts w:hint="eastAsia" w:ascii="华文仿宋" w:hAnsi="华文仿宋" w:eastAsia="华文仿宋"/>
                <w:color w:val="auto"/>
                <w:sz w:val="28"/>
                <w:szCs w:val="28"/>
              </w:rPr>
            </w:pPr>
            <w:bookmarkStart w:id="0" w:name="OLE_LINK11"/>
            <w:r>
              <w:rPr>
                <w:rFonts w:hint="eastAsia" w:ascii="华文仿宋" w:hAnsi="华文仿宋" w:eastAsia="华文仿宋"/>
                <w:color w:val="auto"/>
                <w:sz w:val="28"/>
                <w:szCs w:val="28"/>
              </w:rPr>
              <w:t>20</w:t>
            </w:r>
          </w:p>
        </w:tc>
        <w:tc>
          <w:tcPr>
            <w:tcW w:w="3203" w:type="pct"/>
            <w:noWrap w:val="0"/>
            <w:vAlign w:val="center"/>
          </w:tcPr>
          <w:p w14:paraId="7E410463">
            <w:pPr>
              <w:autoSpaceDE w:val="0"/>
              <w:autoSpaceDN w:val="0"/>
              <w:adjustRightInd w:val="0"/>
              <w:textAlignment w:val="baseline"/>
              <w:rPr>
                <w:rFonts w:hint="eastAsia" w:ascii="华文仿宋" w:hAnsi="华文仿宋" w:eastAsia="华文仿宋"/>
                <w:color w:val="auto"/>
                <w:sz w:val="28"/>
                <w:szCs w:val="28"/>
              </w:rPr>
            </w:pPr>
            <w:r>
              <w:rPr>
                <w:rFonts w:hint="eastAsia" w:ascii="华文仿宋" w:hAnsi="华文仿宋" w:eastAsia="华文仿宋"/>
                <w:color w:val="auto"/>
                <w:sz w:val="28"/>
                <w:szCs w:val="28"/>
              </w:rPr>
              <w:t>根据投标人针对本项目</w:t>
            </w:r>
            <w:r>
              <w:rPr>
                <w:rFonts w:hint="eastAsia" w:ascii="华文仿宋" w:hAnsi="华文仿宋" w:eastAsia="华文仿宋"/>
                <w:b/>
                <w:bCs/>
                <w:color w:val="auto"/>
                <w:sz w:val="28"/>
                <w:szCs w:val="28"/>
              </w:rPr>
              <w:t>建筑改造方案</w:t>
            </w:r>
            <w:r>
              <w:rPr>
                <w:rFonts w:hint="eastAsia" w:ascii="华文仿宋" w:hAnsi="华文仿宋" w:eastAsia="华文仿宋"/>
                <w:color w:val="auto"/>
                <w:sz w:val="28"/>
                <w:szCs w:val="28"/>
              </w:rPr>
              <w:t>，包括改造策略</w:t>
            </w:r>
            <w:r>
              <w:rPr>
                <w:rFonts w:ascii="华文仿宋" w:hAnsi="华文仿宋" w:eastAsia="华文仿宋"/>
                <w:color w:val="auto"/>
                <w:sz w:val="28"/>
                <w:szCs w:val="28"/>
              </w:rPr>
              <w:t>、</w:t>
            </w:r>
            <w:r>
              <w:rPr>
                <w:rFonts w:hint="eastAsia" w:ascii="华文仿宋" w:hAnsi="华文仿宋" w:eastAsia="华文仿宋"/>
                <w:color w:val="auto"/>
                <w:sz w:val="28"/>
                <w:szCs w:val="28"/>
              </w:rPr>
              <w:t>立面效果、平面布局</w:t>
            </w:r>
            <w:r>
              <w:rPr>
                <w:rFonts w:ascii="华文仿宋" w:hAnsi="华文仿宋" w:eastAsia="华文仿宋"/>
                <w:color w:val="auto"/>
                <w:sz w:val="28"/>
                <w:szCs w:val="28"/>
              </w:rPr>
              <w:t>等</w:t>
            </w:r>
            <w:r>
              <w:rPr>
                <w:rFonts w:hint="eastAsia" w:ascii="华文仿宋" w:hAnsi="华文仿宋" w:eastAsia="华文仿宋"/>
                <w:color w:val="auto"/>
                <w:sz w:val="28"/>
                <w:szCs w:val="28"/>
              </w:rPr>
              <w:t>进行打分。提供表达方案改造效果的效果图</w:t>
            </w:r>
            <w:bookmarkEnd w:id="0"/>
            <w:bookmarkStart w:id="1" w:name="OLE_LINK21"/>
            <w:r>
              <w:rPr>
                <w:rFonts w:hint="eastAsia" w:ascii="华文仿宋" w:hAnsi="华文仿宋" w:eastAsia="华文仿宋"/>
                <w:color w:val="auto"/>
                <w:sz w:val="28"/>
                <w:szCs w:val="28"/>
              </w:rPr>
              <w:t>（不少于5张）</w:t>
            </w:r>
            <w:bookmarkEnd w:id="1"/>
            <w:r>
              <w:rPr>
                <w:rFonts w:hint="eastAsia" w:ascii="华文仿宋" w:hAnsi="华文仿宋" w:eastAsia="华文仿宋"/>
                <w:color w:val="auto"/>
                <w:sz w:val="28"/>
                <w:szCs w:val="28"/>
              </w:rPr>
              <w:t>。</w:t>
            </w:r>
          </w:p>
        </w:tc>
      </w:tr>
      <w:tr w14:paraId="5E24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543" w:type="pct"/>
            <w:vMerge w:val="continue"/>
            <w:noWrap w:val="0"/>
            <w:vAlign w:val="center"/>
          </w:tcPr>
          <w:p w14:paraId="1F4C68A7">
            <w:pPr>
              <w:autoSpaceDE w:val="0"/>
              <w:autoSpaceDN w:val="0"/>
              <w:adjustRightInd w:val="0"/>
              <w:textAlignment w:val="baseline"/>
              <w:rPr>
                <w:rFonts w:hint="eastAsia" w:ascii="华文仿宋" w:hAnsi="华文仿宋" w:eastAsia="华文仿宋"/>
                <w:sz w:val="28"/>
                <w:szCs w:val="28"/>
              </w:rPr>
            </w:pPr>
          </w:p>
        </w:tc>
        <w:tc>
          <w:tcPr>
            <w:tcW w:w="868" w:type="pct"/>
            <w:vMerge w:val="continue"/>
            <w:noWrap w:val="0"/>
            <w:vAlign w:val="center"/>
          </w:tcPr>
          <w:p w14:paraId="243DBAFD">
            <w:pPr>
              <w:autoSpaceDE w:val="0"/>
              <w:autoSpaceDN w:val="0"/>
              <w:adjustRightInd w:val="0"/>
              <w:textAlignment w:val="baseline"/>
              <w:rPr>
                <w:rFonts w:hint="eastAsia" w:ascii="华文仿宋" w:hAnsi="华文仿宋" w:eastAsia="华文仿宋"/>
                <w:sz w:val="28"/>
                <w:szCs w:val="28"/>
              </w:rPr>
            </w:pPr>
          </w:p>
        </w:tc>
        <w:tc>
          <w:tcPr>
            <w:tcW w:w="384" w:type="pct"/>
            <w:noWrap w:val="0"/>
            <w:vAlign w:val="center"/>
          </w:tcPr>
          <w:p w14:paraId="588B7669">
            <w:pPr>
              <w:jc w:val="center"/>
              <w:textAlignment w:val="baseline"/>
              <w:rPr>
                <w:rFonts w:hint="eastAsia" w:ascii="华文仿宋" w:hAnsi="华文仿宋" w:eastAsia="华文仿宋"/>
                <w:color w:val="auto"/>
                <w:sz w:val="28"/>
                <w:szCs w:val="28"/>
              </w:rPr>
            </w:pPr>
            <w:r>
              <w:rPr>
                <w:rFonts w:hint="eastAsia" w:ascii="华文仿宋" w:hAnsi="华文仿宋" w:eastAsia="华文仿宋"/>
                <w:color w:val="auto"/>
                <w:sz w:val="28"/>
                <w:szCs w:val="28"/>
              </w:rPr>
              <w:t>10</w:t>
            </w:r>
          </w:p>
        </w:tc>
        <w:tc>
          <w:tcPr>
            <w:tcW w:w="3203" w:type="pct"/>
            <w:noWrap w:val="0"/>
            <w:vAlign w:val="center"/>
          </w:tcPr>
          <w:p w14:paraId="30C954EE">
            <w:pPr>
              <w:autoSpaceDE w:val="0"/>
              <w:autoSpaceDN w:val="0"/>
              <w:adjustRightInd w:val="0"/>
              <w:textAlignment w:val="baseline"/>
              <w:rPr>
                <w:rFonts w:hint="eastAsia" w:ascii="华文仿宋" w:hAnsi="华文仿宋" w:eastAsia="华文仿宋"/>
                <w:color w:val="auto"/>
                <w:sz w:val="28"/>
                <w:szCs w:val="28"/>
              </w:rPr>
            </w:pPr>
            <w:r>
              <w:rPr>
                <w:rFonts w:hint="eastAsia" w:ascii="华文仿宋" w:hAnsi="华文仿宋" w:eastAsia="华文仿宋"/>
                <w:color w:val="auto"/>
                <w:sz w:val="28"/>
                <w:szCs w:val="28"/>
              </w:rPr>
              <w:t>根据投标人针对本项目改造方案的</w:t>
            </w:r>
            <w:r>
              <w:rPr>
                <w:rFonts w:hint="eastAsia" w:ascii="华文仿宋" w:hAnsi="华文仿宋" w:eastAsia="华文仿宋"/>
                <w:b/>
                <w:bCs/>
                <w:color w:val="auto"/>
                <w:sz w:val="28"/>
                <w:szCs w:val="28"/>
              </w:rPr>
              <w:t>经济性及可实施性</w:t>
            </w:r>
            <w:r>
              <w:rPr>
                <w:rFonts w:hint="eastAsia" w:ascii="华文仿宋" w:hAnsi="华文仿宋" w:eastAsia="华文仿宋"/>
                <w:color w:val="auto"/>
                <w:sz w:val="28"/>
                <w:szCs w:val="28"/>
              </w:rPr>
              <w:t>进行打分。</w:t>
            </w:r>
          </w:p>
        </w:tc>
      </w:tr>
      <w:tr w14:paraId="0E80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543" w:type="pct"/>
            <w:vMerge w:val="continue"/>
            <w:noWrap w:val="0"/>
            <w:vAlign w:val="center"/>
          </w:tcPr>
          <w:p w14:paraId="38117875">
            <w:pPr>
              <w:autoSpaceDE w:val="0"/>
              <w:autoSpaceDN w:val="0"/>
              <w:adjustRightInd w:val="0"/>
              <w:textAlignment w:val="baseline"/>
              <w:rPr>
                <w:rFonts w:hint="eastAsia" w:ascii="华文仿宋" w:hAnsi="华文仿宋" w:eastAsia="华文仿宋"/>
                <w:sz w:val="28"/>
                <w:szCs w:val="28"/>
              </w:rPr>
            </w:pPr>
          </w:p>
        </w:tc>
        <w:tc>
          <w:tcPr>
            <w:tcW w:w="868" w:type="pct"/>
            <w:vMerge w:val="continue"/>
            <w:noWrap w:val="0"/>
            <w:vAlign w:val="center"/>
          </w:tcPr>
          <w:p w14:paraId="59F3156D">
            <w:pPr>
              <w:autoSpaceDE w:val="0"/>
              <w:autoSpaceDN w:val="0"/>
              <w:adjustRightInd w:val="0"/>
              <w:textAlignment w:val="baseline"/>
              <w:rPr>
                <w:rFonts w:hint="eastAsia" w:ascii="华文仿宋" w:hAnsi="华文仿宋" w:eastAsia="华文仿宋"/>
                <w:sz w:val="28"/>
                <w:szCs w:val="28"/>
              </w:rPr>
            </w:pPr>
          </w:p>
        </w:tc>
        <w:tc>
          <w:tcPr>
            <w:tcW w:w="384" w:type="pct"/>
            <w:noWrap w:val="0"/>
            <w:vAlign w:val="center"/>
          </w:tcPr>
          <w:p w14:paraId="7697B352">
            <w:pPr>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5</w:t>
            </w:r>
          </w:p>
        </w:tc>
        <w:tc>
          <w:tcPr>
            <w:tcW w:w="3203" w:type="pct"/>
            <w:noWrap w:val="0"/>
            <w:vAlign w:val="center"/>
          </w:tcPr>
          <w:p w14:paraId="1859BE0E">
            <w:pPr>
              <w:autoSpaceDE w:val="0"/>
              <w:autoSpaceDN w:val="0"/>
              <w:adjustRightInd w:val="0"/>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根据投标人对</w:t>
            </w:r>
            <w:r>
              <w:rPr>
                <w:rFonts w:hint="eastAsia" w:ascii="华文仿宋" w:hAnsi="华文仿宋" w:eastAsia="华文仿宋"/>
                <w:b/>
                <w:bCs/>
                <w:sz w:val="28"/>
                <w:szCs w:val="28"/>
              </w:rPr>
              <w:t>室内公共区域改造效果</w:t>
            </w:r>
            <w:r>
              <w:rPr>
                <w:rFonts w:hint="eastAsia" w:ascii="华文仿宋" w:hAnsi="华文仿宋" w:eastAsia="华文仿宋"/>
                <w:sz w:val="28"/>
                <w:szCs w:val="28"/>
              </w:rPr>
              <w:t>进行打分。</w:t>
            </w:r>
          </w:p>
        </w:tc>
      </w:tr>
      <w:tr w14:paraId="457DB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43" w:type="pct"/>
            <w:vMerge w:val="continue"/>
            <w:noWrap w:val="0"/>
            <w:vAlign w:val="center"/>
          </w:tcPr>
          <w:p w14:paraId="44384E53">
            <w:pPr>
              <w:jc w:val="center"/>
              <w:textAlignment w:val="baseline"/>
              <w:rPr>
                <w:rFonts w:hint="eastAsia" w:ascii="华文仿宋" w:hAnsi="华文仿宋" w:eastAsia="华文仿宋"/>
                <w:sz w:val="28"/>
                <w:szCs w:val="28"/>
              </w:rPr>
            </w:pPr>
          </w:p>
        </w:tc>
        <w:tc>
          <w:tcPr>
            <w:tcW w:w="868" w:type="pct"/>
            <w:vMerge w:val="continue"/>
            <w:noWrap w:val="0"/>
            <w:vAlign w:val="center"/>
          </w:tcPr>
          <w:p w14:paraId="489134A3">
            <w:pPr>
              <w:jc w:val="center"/>
              <w:textAlignment w:val="baseline"/>
              <w:rPr>
                <w:rFonts w:hint="eastAsia" w:ascii="华文仿宋" w:hAnsi="华文仿宋" w:eastAsia="华文仿宋"/>
                <w:sz w:val="28"/>
                <w:szCs w:val="28"/>
              </w:rPr>
            </w:pPr>
          </w:p>
        </w:tc>
        <w:tc>
          <w:tcPr>
            <w:tcW w:w="384" w:type="pct"/>
            <w:noWrap w:val="0"/>
            <w:vAlign w:val="center"/>
          </w:tcPr>
          <w:p w14:paraId="239A82DD">
            <w:pPr>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10</w:t>
            </w:r>
          </w:p>
        </w:tc>
        <w:tc>
          <w:tcPr>
            <w:tcW w:w="3203" w:type="pct"/>
            <w:noWrap w:val="0"/>
            <w:vAlign w:val="center"/>
          </w:tcPr>
          <w:p w14:paraId="187CC289">
            <w:pPr>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根据投标人针对本项目的</w:t>
            </w:r>
            <w:r>
              <w:rPr>
                <w:rFonts w:hint="eastAsia" w:ascii="华文仿宋" w:hAnsi="华文仿宋" w:eastAsia="华文仿宋"/>
                <w:b/>
                <w:bCs/>
                <w:sz w:val="28"/>
                <w:szCs w:val="28"/>
              </w:rPr>
              <w:t>景观设计方案</w:t>
            </w:r>
            <w:r>
              <w:rPr>
                <w:rFonts w:hint="eastAsia" w:ascii="华文仿宋" w:hAnsi="华文仿宋" w:eastAsia="华文仿宋"/>
                <w:sz w:val="28"/>
                <w:szCs w:val="28"/>
              </w:rPr>
              <w:t>，包括整体展示效果（效果图不少于5张）、室外场地布置的合理性等，有针对性进行的打分 。</w:t>
            </w:r>
          </w:p>
        </w:tc>
      </w:tr>
      <w:tr w14:paraId="3B34B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43" w:type="pct"/>
            <w:noWrap w:val="0"/>
            <w:vAlign w:val="center"/>
          </w:tcPr>
          <w:p w14:paraId="67CFACFA">
            <w:pPr>
              <w:jc w:val="center"/>
              <w:textAlignment w:val="baseline"/>
              <w:rPr>
                <w:rFonts w:hint="eastAsia" w:ascii="华文仿宋" w:hAnsi="华文仿宋" w:eastAsia="华文仿宋"/>
                <w:b/>
                <w:bCs/>
                <w:sz w:val="28"/>
                <w:szCs w:val="28"/>
              </w:rPr>
            </w:pPr>
          </w:p>
        </w:tc>
        <w:tc>
          <w:tcPr>
            <w:tcW w:w="868" w:type="pct"/>
            <w:noWrap w:val="0"/>
            <w:vAlign w:val="center"/>
          </w:tcPr>
          <w:p w14:paraId="6A3F1E8C">
            <w:pPr>
              <w:jc w:val="center"/>
              <w:textAlignment w:val="baseline"/>
              <w:rPr>
                <w:rFonts w:hint="eastAsia" w:ascii="华文仿宋" w:hAnsi="华文仿宋" w:eastAsia="华文仿宋"/>
                <w:b/>
                <w:bCs/>
                <w:sz w:val="28"/>
                <w:szCs w:val="28"/>
              </w:rPr>
            </w:pPr>
            <w:r>
              <w:rPr>
                <w:rFonts w:hint="eastAsia" w:ascii="华文仿宋" w:hAnsi="华文仿宋" w:eastAsia="华文仿宋"/>
                <w:b/>
                <w:bCs/>
                <w:sz w:val="28"/>
                <w:szCs w:val="28"/>
              </w:rPr>
              <w:t>质量保障措施及服务承诺</w:t>
            </w:r>
          </w:p>
          <w:p w14:paraId="65FF9870">
            <w:pPr>
              <w:jc w:val="center"/>
              <w:textAlignment w:val="baseline"/>
              <w:rPr>
                <w:rFonts w:hint="eastAsia" w:ascii="华文仿宋" w:hAnsi="华文仿宋" w:eastAsia="华文仿宋"/>
                <w:b/>
                <w:bCs/>
                <w:sz w:val="28"/>
                <w:szCs w:val="28"/>
              </w:rPr>
            </w:pPr>
            <w:r>
              <w:rPr>
                <w:rFonts w:hint="eastAsia" w:ascii="华文仿宋" w:hAnsi="华文仿宋" w:eastAsia="华文仿宋"/>
                <w:b/>
                <w:bCs/>
                <w:sz w:val="28"/>
                <w:szCs w:val="28"/>
              </w:rPr>
              <w:t>（5）</w:t>
            </w:r>
          </w:p>
        </w:tc>
        <w:tc>
          <w:tcPr>
            <w:tcW w:w="384" w:type="pct"/>
            <w:noWrap w:val="0"/>
            <w:vAlign w:val="center"/>
          </w:tcPr>
          <w:p w14:paraId="19DBBFDF">
            <w:pPr>
              <w:jc w:val="center"/>
              <w:textAlignment w:val="baseline"/>
              <w:rPr>
                <w:rFonts w:hint="eastAsia" w:ascii="华文仿宋" w:hAnsi="华文仿宋" w:eastAsia="华文仿宋"/>
                <w:sz w:val="28"/>
                <w:szCs w:val="28"/>
              </w:rPr>
            </w:pPr>
            <w:r>
              <w:rPr>
                <w:rFonts w:hint="eastAsia" w:ascii="华文仿宋" w:hAnsi="华文仿宋" w:eastAsia="华文仿宋"/>
                <w:sz w:val="28"/>
                <w:szCs w:val="28"/>
              </w:rPr>
              <w:t>5</w:t>
            </w:r>
          </w:p>
        </w:tc>
        <w:tc>
          <w:tcPr>
            <w:tcW w:w="3203" w:type="pct"/>
            <w:noWrap w:val="0"/>
            <w:vAlign w:val="center"/>
          </w:tcPr>
          <w:p w14:paraId="242C040B">
            <w:pPr>
              <w:textAlignment w:val="baseline"/>
              <w:rPr>
                <w:rFonts w:hint="eastAsia" w:ascii="华文仿宋" w:hAnsi="华文仿宋" w:eastAsia="华文仿宋"/>
                <w:sz w:val="28"/>
                <w:szCs w:val="28"/>
              </w:rPr>
            </w:pPr>
            <w:r>
              <w:rPr>
                <w:rFonts w:hint="eastAsia" w:ascii="华文仿宋" w:hAnsi="华文仿宋" w:eastAsia="华文仿宋"/>
                <w:sz w:val="28"/>
                <w:szCs w:val="28"/>
              </w:rPr>
              <w:t>根据投标人对本项目设计</w:t>
            </w:r>
            <w:r>
              <w:rPr>
                <w:rFonts w:hint="eastAsia" w:ascii="华文仿宋" w:hAnsi="华文仿宋" w:eastAsia="华文仿宋"/>
                <w:b/>
                <w:bCs/>
                <w:sz w:val="28"/>
                <w:szCs w:val="28"/>
              </w:rPr>
              <w:t>工作计划安排</w:t>
            </w:r>
            <w:r>
              <w:rPr>
                <w:rFonts w:hint="eastAsia" w:ascii="华文仿宋" w:hAnsi="华文仿宋" w:eastAsia="华文仿宋"/>
                <w:sz w:val="28"/>
                <w:szCs w:val="28"/>
              </w:rPr>
              <w:t>的合理性，提供的</w:t>
            </w:r>
            <w:r>
              <w:rPr>
                <w:rFonts w:hint="eastAsia" w:ascii="华文仿宋" w:hAnsi="华文仿宋" w:eastAsia="华文仿宋"/>
                <w:b/>
                <w:bCs/>
                <w:sz w:val="28"/>
                <w:szCs w:val="28"/>
              </w:rPr>
              <w:t>服务质量保障措施、相关服务承诺等内容</w:t>
            </w:r>
            <w:r>
              <w:rPr>
                <w:rFonts w:hint="eastAsia" w:ascii="华文仿宋" w:hAnsi="华文仿宋" w:eastAsia="华文仿宋"/>
                <w:sz w:val="28"/>
                <w:szCs w:val="28"/>
              </w:rPr>
              <w:t>的全面性、合理性、可行性进行打分。</w:t>
            </w:r>
          </w:p>
        </w:tc>
      </w:tr>
    </w:tbl>
    <w:p w14:paraId="4C3DA820">
      <w:pPr>
        <w:numPr>
          <w:ilvl w:val="0"/>
          <w:numId w:val="0"/>
        </w:numPr>
        <w:shd w:val="clear" w:color="auto" w:fill="auto"/>
        <w:tabs>
          <w:tab w:val="left" w:pos="993"/>
        </w:tabs>
        <w:spacing w:line="500" w:lineRule="atLeast"/>
        <w:rPr>
          <w:rFonts w:hint="eastAsia" w:ascii="宋体" w:hAnsi="宋体" w:eastAsia="宋体" w:cs="宋体"/>
          <w:b/>
          <w:bCs/>
          <w:color w:val="auto"/>
          <w:sz w:val="28"/>
          <w:szCs w:val="28"/>
          <w:highlight w:val="none"/>
          <w:lang w:val="zh-CN"/>
        </w:rPr>
      </w:pPr>
    </w:p>
    <w:p w14:paraId="17D8390B">
      <w:pPr>
        <w:spacing w:line="520" w:lineRule="exact"/>
        <w:rPr>
          <w:rFonts w:ascii="宋体" w:hAnsi="宋体"/>
          <w:b/>
          <w:sz w:val="28"/>
          <w:szCs w:val="28"/>
        </w:rPr>
      </w:pPr>
      <w:r>
        <w:rPr>
          <w:rFonts w:hint="eastAsia" w:ascii="宋体" w:hAnsi="宋体"/>
          <w:b/>
          <w:sz w:val="28"/>
          <w:szCs w:val="28"/>
        </w:rPr>
        <w:t>注：1.</w:t>
      </w:r>
      <w:r>
        <w:rPr>
          <w:rFonts w:ascii="宋体" w:hAnsi="宋体"/>
          <w:b/>
          <w:sz w:val="28"/>
          <w:szCs w:val="28"/>
        </w:rPr>
        <w:t> 以上设计方案部分采用暗标评审，设计方案内容中（包括文字部分、设计图部分）不得出现显示企业特征或其他提示性的标记或标识（包括文字），否则投标文件无效</w:t>
      </w:r>
      <w:r>
        <w:rPr>
          <w:rFonts w:hint="eastAsia" w:ascii="宋体" w:hAnsi="宋体"/>
          <w:b/>
          <w:sz w:val="28"/>
          <w:szCs w:val="28"/>
        </w:rPr>
        <w:t>；</w:t>
      </w:r>
    </w:p>
    <w:p w14:paraId="0BDC3EFB">
      <w:pPr>
        <w:numPr>
          <w:ilvl w:val="0"/>
          <w:numId w:val="2"/>
        </w:numPr>
        <w:spacing w:line="520" w:lineRule="exact"/>
        <w:rPr>
          <w:rFonts w:ascii="宋体" w:hAnsi="宋体"/>
          <w:b/>
          <w:sz w:val="28"/>
          <w:szCs w:val="28"/>
        </w:rPr>
      </w:pPr>
      <w:r>
        <w:rPr>
          <w:rFonts w:hint="eastAsia" w:ascii="宋体" w:hAnsi="宋体"/>
          <w:b/>
          <w:sz w:val="28"/>
          <w:szCs w:val="28"/>
        </w:rPr>
        <w:t>设计方案各评分点得分应当取所有技术标评委评分中分别去掉一个最高和一个最低评分后的平均值为最终得分（保留两位小数）。</w:t>
      </w:r>
    </w:p>
    <w:p w14:paraId="542D080E">
      <w:pPr>
        <w:numPr>
          <w:ilvl w:val="0"/>
          <w:numId w:val="2"/>
        </w:numPr>
        <w:spacing w:line="520" w:lineRule="exact"/>
        <w:rPr>
          <w:rFonts w:ascii="宋体" w:hAnsi="宋体"/>
          <w:b/>
          <w:sz w:val="28"/>
          <w:szCs w:val="28"/>
        </w:rPr>
      </w:pPr>
      <w:r>
        <w:rPr>
          <w:rFonts w:hint="eastAsia" w:ascii="宋体" w:hAnsi="宋体"/>
          <w:b/>
          <w:sz w:val="28"/>
          <w:szCs w:val="28"/>
        </w:rPr>
        <w:t>若投标人的技术标无明显偏离，至少应得70%。</w:t>
      </w:r>
    </w:p>
    <w:p w14:paraId="2CA8A7B6">
      <w:pPr>
        <w:spacing w:line="560" w:lineRule="exact"/>
        <w:ind w:firstLine="551" w:firstLineChars="196"/>
        <w:rPr>
          <w:rFonts w:hint="default" w:ascii="宋体" w:hAnsi="宋体" w:eastAsia="宋体" w:cs="Times New Roman"/>
          <w:b/>
          <w:sz w:val="28"/>
          <w:szCs w:val="28"/>
          <w:lang w:val="en-US" w:eastAsia="zh-CN"/>
        </w:rPr>
      </w:pPr>
      <w:r>
        <w:rPr>
          <w:rFonts w:hint="eastAsia" w:ascii="宋体" w:hAnsi="宋体" w:eastAsia="宋体" w:cs="宋体"/>
          <w:b/>
          <w:color w:val="auto"/>
          <w:sz w:val="28"/>
          <w:szCs w:val="28"/>
          <w:highlight w:val="none"/>
          <w:lang w:val="zh-CN"/>
        </w:rPr>
        <w:t>二、</w:t>
      </w:r>
      <w:r>
        <w:rPr>
          <w:rFonts w:hint="eastAsia" w:ascii="宋体" w:hAnsi="宋体" w:cs="Times New Roman"/>
          <w:b/>
          <w:sz w:val="28"/>
          <w:szCs w:val="28"/>
        </w:rPr>
        <w:t>商务标评审内容（定量评审）：</w:t>
      </w:r>
      <w:r>
        <w:rPr>
          <w:rFonts w:hint="eastAsia" w:ascii="宋体" w:hAnsi="宋体" w:eastAsia="宋体" w:cs="Times New Roman"/>
          <w:b/>
          <w:sz w:val="28"/>
          <w:szCs w:val="28"/>
          <w:lang w:val="en-US" w:eastAsia="zh-CN"/>
        </w:rPr>
        <w:t>10分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1052"/>
        <w:gridCol w:w="825"/>
        <w:gridCol w:w="6139"/>
      </w:tblGrid>
      <w:tr w14:paraId="5BECF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513" w:type="dxa"/>
            <w:noWrap w:val="0"/>
            <w:vAlign w:val="center"/>
          </w:tcPr>
          <w:p w14:paraId="320A808B">
            <w:pPr>
              <w:jc w:val="center"/>
              <w:rPr>
                <w:rFonts w:hint="eastAsia" w:ascii="宋体" w:hAnsi="宋体" w:cs="宋体"/>
                <w:b/>
                <w:sz w:val="24"/>
                <w:szCs w:val="24"/>
              </w:rPr>
            </w:pPr>
            <w:r>
              <w:rPr>
                <w:rFonts w:hint="eastAsia" w:ascii="宋体" w:hAnsi="宋体" w:cs="宋体"/>
                <w:b/>
                <w:sz w:val="24"/>
                <w:szCs w:val="24"/>
              </w:rPr>
              <w:t>序号</w:t>
            </w:r>
          </w:p>
        </w:tc>
        <w:tc>
          <w:tcPr>
            <w:tcW w:w="1098" w:type="dxa"/>
            <w:noWrap w:val="0"/>
            <w:vAlign w:val="center"/>
          </w:tcPr>
          <w:p w14:paraId="58A008FA">
            <w:pPr>
              <w:jc w:val="center"/>
              <w:rPr>
                <w:rFonts w:hint="eastAsia" w:ascii="宋体" w:hAnsi="宋体" w:cs="宋体"/>
                <w:b/>
                <w:bCs/>
                <w:sz w:val="24"/>
                <w:szCs w:val="24"/>
              </w:rPr>
            </w:pPr>
            <w:r>
              <w:rPr>
                <w:rFonts w:hint="eastAsia" w:ascii="宋体" w:hAnsi="宋体" w:eastAsia="宋体" w:cs="宋体"/>
                <w:b/>
                <w:bCs/>
                <w:spacing w:val="-2"/>
                <w:sz w:val="28"/>
                <w:szCs w:val="28"/>
              </w:rPr>
              <w:t>评审项目</w:t>
            </w:r>
          </w:p>
        </w:tc>
        <w:tc>
          <w:tcPr>
            <w:tcW w:w="867" w:type="dxa"/>
            <w:noWrap w:val="0"/>
            <w:vAlign w:val="center"/>
          </w:tcPr>
          <w:p w14:paraId="47D088BE">
            <w:pPr>
              <w:jc w:val="center"/>
              <w:rPr>
                <w:rFonts w:hint="eastAsia" w:ascii="宋体" w:hAnsi="宋体" w:eastAsia="宋体" w:cs="宋体"/>
                <w:b/>
                <w:bCs/>
                <w:spacing w:val="-2"/>
                <w:sz w:val="28"/>
                <w:szCs w:val="28"/>
                <w:lang w:val="en-US" w:eastAsia="zh-CN"/>
              </w:rPr>
            </w:pPr>
            <w:r>
              <w:rPr>
                <w:rFonts w:hint="eastAsia" w:ascii="宋体" w:hAnsi="宋体" w:eastAsia="宋体" w:cs="宋体"/>
                <w:b/>
                <w:bCs/>
                <w:spacing w:val="-2"/>
                <w:sz w:val="28"/>
                <w:szCs w:val="28"/>
                <w:lang w:val="en-US" w:eastAsia="zh-CN"/>
              </w:rPr>
              <w:t>分值</w:t>
            </w:r>
          </w:p>
        </w:tc>
        <w:tc>
          <w:tcPr>
            <w:tcW w:w="6807" w:type="dxa"/>
            <w:noWrap w:val="0"/>
            <w:vAlign w:val="center"/>
          </w:tcPr>
          <w:p w14:paraId="07693F9A">
            <w:pPr>
              <w:jc w:val="center"/>
              <w:rPr>
                <w:rFonts w:hint="eastAsia" w:ascii="宋体" w:hAnsi="宋体" w:cs="宋体"/>
                <w:b/>
                <w:bCs/>
                <w:sz w:val="24"/>
                <w:szCs w:val="24"/>
              </w:rPr>
            </w:pPr>
            <w:r>
              <w:rPr>
                <w:rFonts w:hint="eastAsia" w:ascii="宋体" w:hAnsi="宋体" w:eastAsia="宋体" w:cs="宋体"/>
                <w:b/>
                <w:bCs/>
                <w:spacing w:val="-2"/>
                <w:sz w:val="28"/>
                <w:szCs w:val="28"/>
              </w:rPr>
              <w:t>评审内容</w:t>
            </w:r>
          </w:p>
        </w:tc>
      </w:tr>
      <w:tr w14:paraId="5943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13" w:type="dxa"/>
            <w:noWrap w:val="0"/>
            <w:vAlign w:val="center"/>
          </w:tcPr>
          <w:p w14:paraId="601B4F58">
            <w:pPr>
              <w:jc w:val="center"/>
              <w:rPr>
                <w:rFonts w:hint="default" w:ascii="宋体" w:hAnsi="宋体" w:cs="宋体"/>
                <w:bCs/>
                <w:sz w:val="24"/>
                <w:szCs w:val="24"/>
                <w:lang w:val="en-US" w:eastAsia="zh-CN"/>
              </w:rPr>
            </w:pPr>
            <w:r>
              <w:rPr>
                <w:rFonts w:hint="eastAsia" w:ascii="宋体" w:hAnsi="宋体" w:cs="宋体"/>
                <w:bCs/>
                <w:sz w:val="24"/>
                <w:szCs w:val="24"/>
                <w:lang w:val="en-US" w:eastAsia="zh-CN"/>
              </w:rPr>
              <w:t>1</w:t>
            </w:r>
          </w:p>
        </w:tc>
        <w:tc>
          <w:tcPr>
            <w:tcW w:w="1098" w:type="dxa"/>
            <w:noWrap w:val="0"/>
            <w:vAlign w:val="center"/>
          </w:tcPr>
          <w:p w14:paraId="1378E672">
            <w:pPr>
              <w:jc w:val="center"/>
              <w:rPr>
                <w:rFonts w:hint="eastAsia" w:ascii="宋体" w:hAnsi="宋体" w:cs="宋体"/>
                <w:bCs/>
                <w:sz w:val="24"/>
                <w:szCs w:val="24"/>
              </w:rPr>
            </w:pPr>
            <w:r>
              <w:rPr>
                <w:rFonts w:hint="eastAsia" w:ascii="宋体" w:hAnsi="宋体" w:cs="宋体"/>
                <w:bCs/>
                <w:sz w:val="24"/>
                <w:szCs w:val="24"/>
              </w:rPr>
              <w:t>拟派项目负责人</w:t>
            </w:r>
          </w:p>
        </w:tc>
        <w:tc>
          <w:tcPr>
            <w:tcW w:w="867" w:type="dxa"/>
            <w:noWrap w:val="0"/>
            <w:vAlign w:val="center"/>
          </w:tcPr>
          <w:p w14:paraId="0AF96873">
            <w:pPr>
              <w:jc w:val="left"/>
              <w:rPr>
                <w:rFonts w:hint="default" w:ascii="宋体" w:hAnsi="宋体" w:eastAsia="宋体" w:cs="宋体"/>
                <w:b w:val="0"/>
                <w:bCs w:val="0"/>
                <w:spacing w:val="-2"/>
                <w:sz w:val="24"/>
                <w:szCs w:val="24"/>
                <w:highlight w:val="none"/>
                <w:lang w:val="en-US" w:eastAsia="zh-CN"/>
              </w:rPr>
            </w:pPr>
            <w:r>
              <w:rPr>
                <w:rFonts w:hint="eastAsia" w:ascii="宋体" w:hAnsi="宋体" w:eastAsia="宋体" w:cs="宋体"/>
                <w:spacing w:val="-2"/>
                <w:sz w:val="24"/>
                <w:szCs w:val="24"/>
              </w:rPr>
              <w:t>2</w:t>
            </w:r>
          </w:p>
        </w:tc>
        <w:tc>
          <w:tcPr>
            <w:tcW w:w="6807" w:type="dxa"/>
            <w:noWrap w:val="0"/>
            <w:vAlign w:val="center"/>
          </w:tcPr>
          <w:p w14:paraId="5B81723C">
            <w:pPr>
              <w:jc w:val="left"/>
              <w:rPr>
                <w:rFonts w:hint="eastAsia" w:ascii="宋体" w:hAnsi="宋体" w:eastAsia="宋体" w:cs="宋体"/>
                <w:b w:val="0"/>
                <w:bCs w:val="0"/>
                <w:spacing w:val="-2"/>
                <w:sz w:val="24"/>
                <w:szCs w:val="24"/>
                <w:highlight w:val="none"/>
              </w:rPr>
            </w:pPr>
            <w:r>
              <w:rPr>
                <w:rFonts w:hint="eastAsia" w:ascii="宋体" w:hAnsi="宋体" w:eastAsia="宋体" w:cs="宋体"/>
                <w:spacing w:val="-2"/>
                <w:sz w:val="24"/>
                <w:szCs w:val="24"/>
              </w:rPr>
              <w:t>具备高级工程师及以上职称，得 2 分</w:t>
            </w:r>
          </w:p>
        </w:tc>
      </w:tr>
      <w:tr w14:paraId="6F7E4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513" w:type="dxa"/>
            <w:vMerge w:val="restart"/>
            <w:noWrap w:val="0"/>
            <w:vAlign w:val="center"/>
          </w:tcPr>
          <w:p w14:paraId="48E2ED4F">
            <w:pPr>
              <w:jc w:val="center"/>
              <w:rPr>
                <w:rFonts w:hint="eastAsia" w:ascii="宋体" w:hAnsi="宋体" w:eastAsia="宋体" w:cs="宋体"/>
                <w:bCs/>
                <w:sz w:val="24"/>
                <w:szCs w:val="24"/>
                <w:lang w:val="en-US" w:eastAsia="zh-CN"/>
              </w:rPr>
            </w:pPr>
            <w:r>
              <w:rPr>
                <w:rFonts w:hint="eastAsia" w:ascii="宋体" w:hAnsi="宋体" w:cs="宋体"/>
                <w:bCs/>
                <w:sz w:val="24"/>
                <w:szCs w:val="24"/>
                <w:lang w:val="en-US" w:eastAsia="zh-CN"/>
              </w:rPr>
              <w:t>1</w:t>
            </w:r>
          </w:p>
        </w:tc>
        <w:tc>
          <w:tcPr>
            <w:tcW w:w="1098" w:type="dxa"/>
            <w:vMerge w:val="restart"/>
            <w:noWrap w:val="0"/>
            <w:vAlign w:val="center"/>
          </w:tcPr>
          <w:p w14:paraId="43B03851">
            <w:pPr>
              <w:jc w:val="center"/>
              <w:rPr>
                <w:rFonts w:hint="eastAsia" w:ascii="宋体" w:hAnsi="宋体" w:cs="宋体"/>
                <w:bCs/>
                <w:sz w:val="24"/>
                <w:szCs w:val="24"/>
                <w:highlight w:val="none"/>
              </w:rPr>
            </w:pPr>
            <w:r>
              <w:rPr>
                <w:rFonts w:hint="eastAsia" w:ascii="宋体" w:hAnsi="宋体" w:cs="宋体"/>
                <w:bCs/>
                <w:sz w:val="24"/>
                <w:szCs w:val="24"/>
                <w:highlight w:val="none"/>
              </w:rPr>
              <w:t>拟派设计团队（不</w:t>
            </w:r>
          </w:p>
          <w:p w14:paraId="52B6DFF3">
            <w:pPr>
              <w:jc w:val="center"/>
              <w:rPr>
                <w:rFonts w:hint="eastAsia" w:ascii="宋体" w:hAnsi="宋体" w:cs="宋体"/>
                <w:bCs/>
                <w:sz w:val="24"/>
                <w:szCs w:val="24"/>
                <w:highlight w:val="none"/>
              </w:rPr>
            </w:pPr>
            <w:r>
              <w:rPr>
                <w:rFonts w:hint="eastAsia" w:ascii="宋体" w:hAnsi="宋体" w:cs="宋体"/>
                <w:bCs/>
                <w:sz w:val="24"/>
                <w:szCs w:val="24"/>
                <w:highlight w:val="none"/>
              </w:rPr>
              <w:t>包含项目设计负</w:t>
            </w:r>
          </w:p>
          <w:p w14:paraId="67B1FA60">
            <w:pPr>
              <w:jc w:val="center"/>
              <w:rPr>
                <w:rFonts w:hint="eastAsia" w:ascii="宋体" w:hAnsi="宋体" w:cs="宋体"/>
                <w:bCs/>
                <w:sz w:val="24"/>
                <w:szCs w:val="24"/>
                <w:highlight w:val="none"/>
              </w:rPr>
            </w:pPr>
            <w:r>
              <w:rPr>
                <w:rFonts w:hint="eastAsia" w:ascii="宋体" w:hAnsi="宋体" w:cs="宋体"/>
                <w:bCs/>
                <w:sz w:val="24"/>
                <w:szCs w:val="24"/>
                <w:highlight w:val="none"/>
              </w:rPr>
              <w:t>责人）</w:t>
            </w:r>
          </w:p>
        </w:tc>
        <w:tc>
          <w:tcPr>
            <w:tcW w:w="867" w:type="dxa"/>
            <w:noWrap w:val="0"/>
            <w:vAlign w:val="center"/>
          </w:tcPr>
          <w:p w14:paraId="6F6B24AB">
            <w:pPr>
              <w:jc w:val="left"/>
              <w:rPr>
                <w:rFonts w:hint="default" w:ascii="宋体" w:hAnsi="宋体" w:eastAsia="宋体" w:cs="宋体"/>
                <w:b w:val="0"/>
                <w:bCs w:val="0"/>
                <w:spacing w:val="-2"/>
                <w:sz w:val="24"/>
                <w:szCs w:val="24"/>
                <w:highlight w:val="none"/>
                <w:lang w:val="en-US" w:eastAsia="zh-CN"/>
              </w:rPr>
            </w:pPr>
            <w:r>
              <w:rPr>
                <w:rFonts w:hint="eastAsia" w:ascii="宋体" w:hAnsi="宋体" w:eastAsia="宋体" w:cs="宋体"/>
                <w:b w:val="0"/>
                <w:bCs w:val="0"/>
                <w:spacing w:val="-2"/>
                <w:sz w:val="24"/>
                <w:szCs w:val="24"/>
                <w:highlight w:val="none"/>
                <w:lang w:val="en-US" w:eastAsia="zh-CN"/>
              </w:rPr>
              <w:t>2</w:t>
            </w:r>
          </w:p>
        </w:tc>
        <w:tc>
          <w:tcPr>
            <w:tcW w:w="6807" w:type="dxa"/>
            <w:noWrap w:val="0"/>
            <w:vAlign w:val="center"/>
          </w:tcPr>
          <w:p w14:paraId="175A5B2F">
            <w:pPr>
              <w:jc w:val="left"/>
              <w:rPr>
                <w:rFonts w:hint="eastAsia" w:ascii="宋体" w:hAnsi="宋体" w:eastAsia="宋体" w:cs="宋体"/>
                <w:b w:val="0"/>
                <w:bCs w:val="0"/>
                <w:spacing w:val="-2"/>
                <w:sz w:val="24"/>
                <w:szCs w:val="24"/>
                <w:highlight w:val="none"/>
              </w:rPr>
            </w:pPr>
            <w:r>
              <w:rPr>
                <w:rFonts w:hint="eastAsia" w:ascii="宋体" w:hAnsi="宋体" w:eastAsia="宋体" w:cs="宋体"/>
                <w:spacing w:val="-2"/>
                <w:sz w:val="24"/>
                <w:szCs w:val="24"/>
                <w:highlight w:val="none"/>
              </w:rPr>
              <w:t>1.建筑专业负责人（1人）具备一级注册建筑师证的，得1分，同时具备高级工程师职称的，得2分；</w:t>
            </w:r>
          </w:p>
        </w:tc>
      </w:tr>
      <w:tr w14:paraId="38AF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513" w:type="dxa"/>
            <w:vMerge w:val="continue"/>
            <w:noWrap w:val="0"/>
            <w:vAlign w:val="center"/>
          </w:tcPr>
          <w:p w14:paraId="479E3AC5">
            <w:pPr>
              <w:jc w:val="center"/>
              <w:rPr>
                <w:rFonts w:hint="eastAsia" w:ascii="宋体" w:hAnsi="宋体" w:eastAsia="宋体" w:cs="宋体"/>
                <w:bCs/>
                <w:sz w:val="24"/>
                <w:szCs w:val="24"/>
                <w:lang w:val="en-US" w:eastAsia="zh-CN"/>
              </w:rPr>
            </w:pPr>
          </w:p>
        </w:tc>
        <w:tc>
          <w:tcPr>
            <w:tcW w:w="1098" w:type="dxa"/>
            <w:vMerge w:val="continue"/>
            <w:noWrap w:val="0"/>
            <w:vAlign w:val="center"/>
          </w:tcPr>
          <w:p w14:paraId="20C20C88">
            <w:pPr>
              <w:jc w:val="center"/>
              <w:rPr>
                <w:rFonts w:hint="eastAsia" w:ascii="宋体" w:hAnsi="宋体" w:cs="宋体"/>
                <w:bCs/>
                <w:sz w:val="24"/>
                <w:szCs w:val="24"/>
                <w:highlight w:val="none"/>
              </w:rPr>
            </w:pPr>
          </w:p>
        </w:tc>
        <w:tc>
          <w:tcPr>
            <w:tcW w:w="867" w:type="dxa"/>
            <w:noWrap w:val="0"/>
            <w:vAlign w:val="center"/>
          </w:tcPr>
          <w:p w14:paraId="25C4A981">
            <w:pPr>
              <w:jc w:val="left"/>
              <w:rPr>
                <w:rFonts w:hint="default" w:ascii="宋体" w:hAnsi="宋体" w:eastAsia="宋体" w:cs="宋体"/>
                <w:b w:val="0"/>
                <w:bCs w:val="0"/>
                <w:spacing w:val="-2"/>
                <w:sz w:val="24"/>
                <w:szCs w:val="24"/>
                <w:highlight w:val="none"/>
                <w:lang w:val="en-US" w:eastAsia="zh-CN"/>
              </w:rPr>
            </w:pPr>
            <w:r>
              <w:rPr>
                <w:rFonts w:hint="eastAsia" w:ascii="宋体" w:hAnsi="宋体" w:eastAsia="宋体" w:cs="宋体"/>
                <w:b w:val="0"/>
                <w:bCs w:val="0"/>
                <w:spacing w:val="-2"/>
                <w:sz w:val="24"/>
                <w:szCs w:val="24"/>
                <w:highlight w:val="none"/>
                <w:lang w:val="en-US" w:eastAsia="zh-CN"/>
              </w:rPr>
              <w:t>2</w:t>
            </w:r>
          </w:p>
        </w:tc>
        <w:tc>
          <w:tcPr>
            <w:tcW w:w="6807" w:type="dxa"/>
            <w:noWrap w:val="0"/>
            <w:vAlign w:val="center"/>
          </w:tcPr>
          <w:p w14:paraId="52FDF8B1">
            <w:pPr>
              <w:jc w:val="left"/>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2.结构专业负责人（1人）具备一级注册结构工程师证的，</w:t>
            </w:r>
          </w:p>
          <w:p w14:paraId="68A11B02">
            <w:pPr>
              <w:jc w:val="left"/>
              <w:rPr>
                <w:rFonts w:hint="eastAsia" w:ascii="宋体" w:hAnsi="宋体" w:eastAsia="宋体" w:cs="宋体"/>
                <w:b w:val="0"/>
                <w:bCs w:val="0"/>
                <w:spacing w:val="-2"/>
                <w:sz w:val="24"/>
                <w:szCs w:val="24"/>
                <w:highlight w:val="none"/>
              </w:rPr>
            </w:pPr>
            <w:r>
              <w:rPr>
                <w:rFonts w:hint="eastAsia" w:ascii="宋体" w:hAnsi="宋体" w:eastAsia="宋体" w:cs="宋体"/>
                <w:spacing w:val="-2"/>
                <w:sz w:val="24"/>
                <w:szCs w:val="24"/>
                <w:highlight w:val="none"/>
              </w:rPr>
              <w:t>得1分，同时具备高级工程师职称的，得2分；</w:t>
            </w:r>
          </w:p>
        </w:tc>
      </w:tr>
      <w:tr w14:paraId="1267F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513" w:type="dxa"/>
            <w:noWrap w:val="0"/>
            <w:vAlign w:val="center"/>
          </w:tcPr>
          <w:p w14:paraId="4A61FDDE">
            <w:pPr>
              <w:jc w:val="center"/>
              <w:rPr>
                <w:rFonts w:hint="eastAsia" w:ascii="宋体" w:hAnsi="宋体" w:eastAsia="宋体" w:cs="宋体"/>
                <w:bCs/>
                <w:sz w:val="24"/>
                <w:szCs w:val="24"/>
                <w:lang w:val="en-US" w:eastAsia="zh-CN"/>
              </w:rPr>
            </w:pPr>
            <w:r>
              <w:rPr>
                <w:rFonts w:hint="eastAsia" w:ascii="宋体" w:hAnsi="宋体" w:cs="宋体"/>
                <w:bCs/>
                <w:sz w:val="24"/>
                <w:szCs w:val="24"/>
                <w:lang w:val="en-US" w:eastAsia="zh-CN"/>
              </w:rPr>
              <w:t>2</w:t>
            </w:r>
          </w:p>
        </w:tc>
        <w:tc>
          <w:tcPr>
            <w:tcW w:w="1098" w:type="dxa"/>
            <w:noWrap w:val="0"/>
            <w:vAlign w:val="center"/>
          </w:tcPr>
          <w:p w14:paraId="02A32314">
            <w:pPr>
              <w:jc w:val="center"/>
              <w:rPr>
                <w:rFonts w:hint="eastAsia" w:ascii="宋体" w:hAnsi="宋体" w:eastAsia="宋体" w:cs="宋体"/>
                <w:b w:val="0"/>
                <w:bCs w:val="0"/>
                <w:spacing w:val="-2"/>
                <w:sz w:val="24"/>
                <w:szCs w:val="24"/>
              </w:rPr>
            </w:pPr>
            <w:r>
              <w:rPr>
                <w:rFonts w:hint="eastAsia" w:ascii="宋体" w:hAnsi="宋体" w:eastAsia="宋体" w:cs="宋体"/>
                <w:b w:val="0"/>
                <w:bCs w:val="0"/>
                <w:spacing w:val="-2"/>
                <w:sz w:val="24"/>
                <w:szCs w:val="24"/>
              </w:rPr>
              <w:t>企业业绩</w:t>
            </w:r>
          </w:p>
        </w:tc>
        <w:tc>
          <w:tcPr>
            <w:tcW w:w="867" w:type="dxa"/>
            <w:noWrap w:val="0"/>
            <w:vAlign w:val="center"/>
          </w:tcPr>
          <w:p w14:paraId="4500E688">
            <w:pPr>
              <w:widowControl/>
              <w:spacing w:line="24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807" w:type="dxa"/>
            <w:noWrap w:val="0"/>
            <w:vAlign w:val="center"/>
          </w:tcPr>
          <w:p w14:paraId="7DC0A8B6">
            <w:pPr>
              <w:widowControl/>
              <w:spacing w:line="24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企业自 2020 年 1 月 1 日（含）以来承担过</w:t>
            </w:r>
            <w:r>
              <w:rPr>
                <w:rFonts w:hint="eastAsia" w:ascii="宋体" w:hAnsi="宋体" w:eastAsia="宋体" w:cs="宋体"/>
                <w:color w:val="auto"/>
                <w:sz w:val="24"/>
                <w:szCs w:val="24"/>
                <w:highlight w:val="none"/>
                <w:lang w:val="en-US" w:eastAsia="zh-CN"/>
              </w:rPr>
              <w:t>单项合同总建筑面积14.5万平方米及以上的</w:t>
            </w:r>
            <w:r>
              <w:rPr>
                <w:rFonts w:hint="eastAsia" w:ascii="宋体" w:hAnsi="宋体" w:eastAsia="宋体" w:cs="宋体"/>
                <w:color w:val="auto"/>
                <w:sz w:val="24"/>
                <w:szCs w:val="24"/>
                <w:highlight w:val="none"/>
              </w:rPr>
              <w:t>类似建筑工程设计</w:t>
            </w:r>
            <w:r>
              <w:rPr>
                <w:rFonts w:hint="eastAsia" w:ascii="宋体" w:hAnsi="宋体" w:eastAsia="宋体" w:cs="宋体"/>
                <w:color w:val="auto"/>
                <w:sz w:val="24"/>
                <w:szCs w:val="24"/>
                <w:highlight w:val="none"/>
                <w:lang w:val="en-US" w:eastAsia="zh-CN"/>
              </w:rPr>
              <w:t>业绩</w:t>
            </w:r>
            <w:r>
              <w:rPr>
                <w:rFonts w:hint="eastAsia" w:ascii="宋体" w:hAnsi="宋体" w:eastAsia="宋体" w:cs="宋体"/>
                <w:color w:val="auto"/>
                <w:sz w:val="24"/>
                <w:szCs w:val="24"/>
                <w:highlight w:val="none"/>
              </w:rPr>
              <w:t>的，每提供 1 份业绩合同证明得</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 xml:space="preserve"> 分，满分 4 分（时间以</w:t>
            </w:r>
          </w:p>
          <w:p w14:paraId="17BF931B">
            <w:pPr>
              <w:widowControl/>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合同签订时间为准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提供的证明材料必须能反映出相关数据和内容，否则视为未提供；以上要求提供的设计合同等相关证明材料，应将原件扫描录入诚信库， 编制投标文件时从诚信库获取相关信息。）</w:t>
            </w:r>
          </w:p>
        </w:tc>
      </w:tr>
    </w:tbl>
    <w:p w14:paraId="427A7882">
      <w:pPr>
        <w:spacing w:line="520" w:lineRule="exact"/>
        <w:rPr>
          <w:rFonts w:ascii="宋体" w:hAnsi="宋体"/>
          <w:b/>
          <w:sz w:val="28"/>
          <w:szCs w:val="28"/>
        </w:rPr>
      </w:pPr>
      <w:r>
        <w:rPr>
          <w:rFonts w:hint="eastAsia" w:ascii="宋体" w:hAnsi="宋体" w:eastAsia="宋体" w:cs="Times New Roman"/>
          <w:b/>
          <w:sz w:val="28"/>
          <w:szCs w:val="28"/>
          <w:lang w:val="en-US" w:eastAsia="zh-CN"/>
        </w:rPr>
        <w:t>注：</w:t>
      </w:r>
      <w:r>
        <w:rPr>
          <w:rFonts w:hint="eastAsia" w:ascii="宋体" w:hAnsi="宋体"/>
          <w:b/>
          <w:sz w:val="28"/>
          <w:szCs w:val="28"/>
          <w:lang w:val="en-US" w:eastAsia="zh-CN"/>
        </w:rPr>
        <w:t>1</w:t>
      </w:r>
      <w:r>
        <w:rPr>
          <w:rFonts w:hint="eastAsia" w:ascii="宋体" w:hAnsi="宋体"/>
          <w:b/>
          <w:sz w:val="28"/>
          <w:szCs w:val="28"/>
        </w:rPr>
        <w:t>、以上所提供的业绩、证件、证书、获奖</w:t>
      </w:r>
      <w:r>
        <w:rPr>
          <w:rFonts w:ascii="宋体" w:hAnsi="宋体"/>
          <w:b/>
          <w:sz w:val="28"/>
          <w:szCs w:val="28"/>
        </w:rPr>
        <w:t>文件</w:t>
      </w:r>
      <w:r>
        <w:rPr>
          <w:rFonts w:hint="eastAsia" w:ascii="宋体" w:hAnsi="宋体"/>
          <w:b/>
          <w:sz w:val="28"/>
          <w:szCs w:val="28"/>
        </w:rPr>
        <w:t>等相关证明材料（</w:t>
      </w:r>
      <w:r>
        <w:rPr>
          <w:rFonts w:ascii="宋体" w:hAnsi="宋体"/>
          <w:b/>
          <w:sz w:val="28"/>
          <w:szCs w:val="28"/>
        </w:rPr>
        <w:t>如</w:t>
      </w:r>
      <w:r>
        <w:rPr>
          <w:rFonts w:hint="eastAsia" w:ascii="宋体" w:hAnsi="宋体"/>
          <w:b/>
          <w:sz w:val="28"/>
          <w:szCs w:val="28"/>
        </w:rPr>
        <w:t>职称</w:t>
      </w:r>
      <w:r>
        <w:rPr>
          <w:rFonts w:ascii="宋体" w:hAnsi="宋体"/>
          <w:b/>
          <w:sz w:val="28"/>
          <w:szCs w:val="28"/>
        </w:rPr>
        <w:t>证书未体现专业的须同时提供</w:t>
      </w:r>
      <w:r>
        <w:rPr>
          <w:rFonts w:hint="eastAsia" w:ascii="宋体" w:hAnsi="宋体"/>
          <w:b/>
          <w:sz w:val="28"/>
          <w:szCs w:val="28"/>
        </w:rPr>
        <w:t>职称评审表或</w:t>
      </w:r>
      <w:r>
        <w:rPr>
          <w:rFonts w:ascii="宋体" w:hAnsi="宋体"/>
          <w:b/>
          <w:sz w:val="28"/>
          <w:szCs w:val="28"/>
        </w:rPr>
        <w:t>毕业证书</w:t>
      </w:r>
      <w:r>
        <w:rPr>
          <w:rFonts w:hint="eastAsia" w:ascii="宋体" w:hAnsi="宋体"/>
          <w:b/>
          <w:sz w:val="28"/>
          <w:szCs w:val="28"/>
        </w:rPr>
        <w:t>），应将原件扫描录入诚信库，编制投标文件时从诚信库获取相关信息。</w:t>
      </w:r>
    </w:p>
    <w:p w14:paraId="0B802691">
      <w:pPr>
        <w:shd w:val="clear" w:color="auto" w:fill="auto"/>
        <w:spacing w:line="500" w:lineRule="atLeast"/>
        <w:ind w:firstLine="482"/>
        <w:rPr>
          <w:rFonts w:ascii="宋体" w:hAnsi="宋体"/>
          <w:b/>
          <w:sz w:val="28"/>
          <w:szCs w:val="28"/>
        </w:rPr>
      </w:pPr>
      <w:r>
        <w:rPr>
          <w:rFonts w:hint="eastAsia" w:ascii="宋体" w:hAnsi="宋体"/>
          <w:b/>
          <w:sz w:val="28"/>
          <w:szCs w:val="28"/>
          <w:lang w:val="en-US" w:eastAsia="zh-CN"/>
        </w:rPr>
        <w:t>2</w:t>
      </w:r>
      <w:r>
        <w:rPr>
          <w:rFonts w:hint="eastAsia" w:ascii="宋体" w:hAnsi="宋体"/>
          <w:b/>
          <w:sz w:val="28"/>
          <w:szCs w:val="28"/>
        </w:rPr>
        <w:t>、人员配置中的相关</w:t>
      </w:r>
      <w:r>
        <w:rPr>
          <w:rFonts w:ascii="宋体" w:hAnsi="宋体"/>
          <w:b/>
          <w:sz w:val="28"/>
          <w:szCs w:val="28"/>
        </w:rPr>
        <w:t>人员</w:t>
      </w:r>
      <w:r>
        <w:rPr>
          <w:rFonts w:hint="eastAsia" w:ascii="宋体" w:hAnsi="宋体"/>
          <w:b/>
          <w:sz w:val="28"/>
          <w:szCs w:val="28"/>
        </w:rPr>
        <w:t>，</w:t>
      </w:r>
      <w:r>
        <w:rPr>
          <w:rFonts w:ascii="宋体" w:hAnsi="宋体"/>
          <w:b/>
          <w:sz w:val="28"/>
          <w:szCs w:val="28"/>
        </w:rPr>
        <w:t>须提供投标截止日期前6个月内本单位为其办理的任意一个月社保缴费清单</w:t>
      </w:r>
      <w:r>
        <w:rPr>
          <w:rFonts w:hint="eastAsia" w:ascii="宋体" w:hAnsi="宋体"/>
          <w:b/>
          <w:sz w:val="28"/>
          <w:szCs w:val="28"/>
        </w:rPr>
        <w:t>，否则不得分</w:t>
      </w:r>
      <w:r>
        <w:rPr>
          <w:rFonts w:ascii="宋体" w:hAnsi="宋体"/>
          <w:b/>
          <w:sz w:val="28"/>
          <w:szCs w:val="28"/>
        </w:rPr>
        <w:t>。</w:t>
      </w:r>
    </w:p>
    <w:p w14:paraId="6ED79533">
      <w:pPr>
        <w:spacing w:line="560" w:lineRule="exact"/>
        <w:ind w:firstLine="549" w:firstLineChars="196"/>
        <w:rPr>
          <w:rFonts w:hint="eastAsia" w:ascii="宋体" w:hAnsi="宋体" w:cs="Times New Roman"/>
          <w:b/>
          <w:sz w:val="28"/>
          <w:szCs w:val="28"/>
        </w:rPr>
      </w:pPr>
      <w:r>
        <w:rPr>
          <w:rFonts w:hint="eastAsia" w:ascii="宋体" w:hAnsi="宋体" w:cs="Times New Roman"/>
          <w:b/>
          <w:sz w:val="28"/>
          <w:szCs w:val="28"/>
          <w:lang w:val="en-US" w:eastAsia="zh-CN"/>
        </w:rPr>
        <w:t>三</w:t>
      </w:r>
      <w:r>
        <w:rPr>
          <w:rFonts w:hint="eastAsia" w:ascii="宋体" w:hAnsi="宋体" w:cs="Times New Roman"/>
          <w:b/>
          <w:sz w:val="28"/>
          <w:szCs w:val="28"/>
          <w:lang w:val="zh-CN"/>
        </w:rPr>
        <w:t>、</w:t>
      </w:r>
      <w:r>
        <w:rPr>
          <w:rFonts w:hint="eastAsia" w:ascii="宋体" w:hAnsi="宋体" w:cs="Times New Roman"/>
          <w:b/>
          <w:sz w:val="28"/>
          <w:szCs w:val="28"/>
        </w:rPr>
        <w:t>第二阶段经济标评审：</w:t>
      </w:r>
    </w:p>
    <w:p w14:paraId="201F066E">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(1)第二阶段进行经济文件评标（仅针对进入第二阶段的有效投标文件进行），技术标得分不带入第二阶段。</w:t>
      </w:r>
    </w:p>
    <w:p w14:paraId="53939D8B">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（2）以进入第二阶段入围单位的有效投标文件的总投标报价确定评标基准价：</w:t>
      </w:r>
    </w:p>
    <w:p w14:paraId="6C64206C">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1、确定评标基准价，投标人有效投标文件的评标价比所有有效投标文件的评标价算术平均值下浮超过5%（不含5%）时，该评标价不参与评标基准价的计算，其余有效投标文件的评标价算术平均值为 A（评标基准价 =A。评标基准价计算结果保留小数点后2位（四舍五入），按评标价偏离评标基准价由小至大的次序推荐5名定标候选人（若少于5名则全部入围），偏离值相同时以第一阶段得分排名靠前的优先。</w:t>
      </w:r>
    </w:p>
    <w:p w14:paraId="0B5A4533">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说明：（1）评标委员会在评标报告上签字后，上述方法的评标基准价不因招投标当事人质疑、投诉、复议以及其它任何情况而改变, 但评标过程中的计算错误可作调整。</w:t>
      </w:r>
    </w:p>
    <w:p w14:paraId="55A0B117">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（2）有效投标文件是指评标委员会初步评审合格的投标文件；评标价指经澄清、补正和修正算术错误的投标报价。不参与评标基准价计算的有效投标人均不影响其推荐为中标候选人。</w:t>
      </w:r>
    </w:p>
    <w:p w14:paraId="57C14722">
      <w:pPr>
        <w:spacing w:line="560" w:lineRule="exact"/>
        <w:ind w:firstLine="549" w:firstLineChars="196"/>
        <w:rPr>
          <w:rFonts w:hint="eastAsia" w:ascii="宋体" w:hAnsi="宋体" w:cs="Times New Roman"/>
          <w:b/>
          <w:sz w:val="28"/>
          <w:szCs w:val="28"/>
          <w:lang w:val="en-US" w:eastAsia="zh-CN"/>
        </w:rPr>
      </w:pPr>
      <w:r>
        <w:rPr>
          <w:rFonts w:hint="eastAsia" w:ascii="宋体" w:hAnsi="宋体" w:cs="Times New Roman"/>
          <w:b/>
          <w:sz w:val="28"/>
          <w:szCs w:val="28"/>
          <w:lang w:val="en-US" w:eastAsia="zh-CN"/>
        </w:rPr>
        <w:t>四、定标候选人确定</w:t>
      </w:r>
    </w:p>
    <w:p w14:paraId="2525EBCB">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经评标委员会评审，由评标委员会向招标人推荐5名定标候选人（若少于5名则 全部入围）。评标结果公示期间因投诉或质疑导致定标候选人少于5家时，定标候选 人数量不再递补。经评审合格的投标人不足三家时，由评标委员会决定是否推荐定标候选人，评标结果公示期间因投诉或质疑导致定标候选人少于三家不影响后续定标。 当评标委员会推荐的定标候选人不足三家时，定标委员会可以继续定标，也可以作出重新招标的决定。</w:t>
      </w:r>
    </w:p>
    <w:p w14:paraId="262150D5">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定标方案如下：定标方法采用直接票决法方式，定标委员会成员根据每项定标因素分别对各中标候选人进行独立评审后进行票决，并确定得票总数最多的为中标人。票决采取投票法，即各定标委员会成员对所有进入定标程序的投标人根据各定标因素择优排序进行投票，最优的得 5 票，其次得 4 票，以此类推（排名第 5 以后的得 0 票），按总票数高低确定中标候选人及排序。得票数相同且影响中标候选人确定的，可由定标委员会对得票数相同的单位进行再次票决确定排名。依此类推，并据此确定全部中标候选人排序。</w:t>
      </w:r>
    </w:p>
    <w:p w14:paraId="7F0EDFF3">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定标因素：</w:t>
      </w:r>
    </w:p>
    <w:p w14:paraId="1E6EDDCC">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1、定标委员会将根据以下5定标因素，对定标候选人进行比较，成员应当遵循择优的原则，依据招标文件规定，独立行使投票权。</w:t>
      </w:r>
    </w:p>
    <w:p w14:paraId="42B14019">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（1）定标因素1：投标报价：以定标候选人的投标报价偏离评标基准价少的优于偏离评标基准价多的。</w:t>
      </w:r>
    </w:p>
    <w:p w14:paraId="5AEDB97A">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（2）定标因素2：评标委员会评标报告以及提出的技术咨询建议；评标报告优势多的优于优势少的；缺点、风险少的优于多的；对技术、质量、安全、工期的控制能力高的优于低的。</w:t>
      </w:r>
    </w:p>
    <w:p w14:paraId="3279F663">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（3）定标因素3：拟派项目管理机构及人员配备情况：按投标人投标文件中配备的人员进行横向比较，项目机构成员专业配置齐全的优于不齐全的；项目机构成员配置合理的优于不合理的。</w:t>
      </w:r>
    </w:p>
    <w:p w14:paraId="0EA7A8E4">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（4）定标因素4：方案完整、满足设计任务书要求的优于方案不完整、不满足设计任务书要求的。</w:t>
      </w:r>
    </w:p>
    <w:p w14:paraId="764C98FA">
      <w:pPr>
        <w:autoSpaceDN w:val="0"/>
        <w:snapToGrid w:val="0"/>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定标因素5：建设行政主管部门做出的行政处罚和不良行为记录：投标人未在“信用中国”有建设行政主管部门做出的行政处罚和不良行为记录的企业优于在“信用中国”有建设行政主管部门做出的行政处罚和不良行为记录的。（以在定标当天通过“信用中国”网站www.creditchina.gov.cn 查询的投标企业相关信用记录为准。）</w:t>
      </w:r>
    </w:p>
    <w:p w14:paraId="311E9387">
      <w:pPr>
        <w:spacing w:line="560" w:lineRule="exact"/>
        <w:ind w:firstLine="549" w:firstLineChars="196"/>
        <w:rPr>
          <w:rFonts w:hint="eastAsia" w:ascii="宋体" w:hAnsi="宋体" w:cs="Times New Roman"/>
          <w:b/>
          <w:sz w:val="28"/>
          <w:szCs w:val="28"/>
          <w:lang w:val="en-US" w:eastAsia="zh-CN"/>
        </w:rPr>
      </w:pPr>
      <w:r>
        <w:rPr>
          <w:rFonts w:hint="eastAsia" w:ascii="宋体" w:hAnsi="宋体" w:cs="Times New Roman"/>
          <w:b/>
          <w:sz w:val="28"/>
          <w:szCs w:val="28"/>
          <w:lang w:val="en-US" w:eastAsia="zh-CN"/>
        </w:rPr>
        <w:t>五、中标候选人确定</w:t>
      </w:r>
    </w:p>
    <w:p w14:paraId="1BC9BE14">
      <w:pPr>
        <w:shd w:val="clear" w:color="auto" w:fill="auto"/>
        <w:spacing w:line="500" w:lineRule="atLeast"/>
        <w:ind w:firstLine="480"/>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由招标人组建的定标委员会，采用票决定标法在评标委员会推荐的入围单位中确定1-3中标候选人。</w:t>
      </w:r>
    </w:p>
    <w:p w14:paraId="2770D0C9"/>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1F704">
    <w:pPr>
      <w:pStyle w:val="2"/>
      <w:framePr w:wrap="around" w:vAnchor="text" w:hAnchor="margin" w:xAlign="center" w:y="1"/>
      <w:rPr>
        <w:rStyle w:val="8"/>
      </w:rPr>
    </w:pPr>
    <w:r>
      <w:fldChar w:fldCharType="begin"/>
    </w:r>
    <w:r>
      <w:rPr>
        <w:rStyle w:val="8"/>
      </w:rPr>
      <w:instrText xml:space="preserve">PAGE  </w:instrText>
    </w:r>
    <w:r>
      <w:fldChar w:fldCharType="separate"/>
    </w:r>
    <w:r>
      <w:rPr>
        <w:rStyle w:val="8"/>
      </w:rPr>
      <w:t>9</w:t>
    </w:r>
    <w:r>
      <w:fldChar w:fldCharType="end"/>
    </w:r>
  </w:p>
  <w:p w14:paraId="44A8A31D">
    <w:pPr>
      <w:pStyle w:val="2"/>
      <w:ind w:right="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44BE6">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BD40"/>
    <w:multiLevelType w:val="singleLevel"/>
    <w:tmpl w:val="275BBD40"/>
    <w:lvl w:ilvl="0" w:tentative="0">
      <w:start w:val="1"/>
      <w:numFmt w:val="chineseCounting"/>
      <w:suff w:val="nothing"/>
      <w:lvlText w:val="%1、"/>
      <w:lvlJc w:val="left"/>
      <w:rPr>
        <w:rFonts w:hint="eastAsia"/>
      </w:rPr>
    </w:lvl>
  </w:abstractNum>
  <w:abstractNum w:abstractNumId="1">
    <w:nsid w:val="6B5E018E"/>
    <w:multiLevelType w:val="singleLevel"/>
    <w:tmpl w:val="6B5E018E"/>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7D20C2"/>
    <w:rsid w:val="4C7D20C2"/>
    <w:rsid w:val="549902D9"/>
    <w:rsid w:val="599F5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Calibri"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rFonts w:eastAsia="宋体"/>
      <w:sz w:val="18"/>
      <w:szCs w:val="20"/>
    </w:rPr>
  </w:style>
  <w:style w:type="paragraph" w:customStyle="1" w:styleId="3">
    <w:name w:val="TOC Heading1"/>
    <w:next w:val="1"/>
    <w:qFormat/>
    <w:uiPriority w:val="0"/>
    <w:pPr>
      <w:wordWrap w:val="0"/>
    </w:pPr>
    <w:rPr>
      <w:rFonts w:ascii="Times New Roman" w:hAnsi="Times New Roman" w:eastAsia="宋体" w:cs="Times New Roman"/>
      <w:sz w:val="32"/>
      <w:lang w:val="en-US" w:eastAsia="zh-CN" w:bidi="ar-SA"/>
    </w:rPr>
  </w:style>
  <w:style w:type="paragraph" w:styleId="4">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5">
    <w:name w:val="Normal (Web)"/>
    <w:basedOn w:val="1"/>
    <w:uiPriority w:val="0"/>
    <w:pPr>
      <w:widowControl/>
      <w:spacing w:before="100" w:beforeLines="0" w:beforeAutospacing="1" w:after="100" w:afterLines="0" w:afterAutospacing="1"/>
      <w:jc w:val="left"/>
    </w:pPr>
    <w:rPr>
      <w:rFonts w:ascii="宋体" w:hAnsi="宋体" w:eastAsia="Calibri" w:cs="Times New Roman"/>
      <w:kern w:val="0"/>
      <w:sz w:val="24"/>
      <w:szCs w:val="24"/>
    </w:rPr>
  </w:style>
  <w:style w:type="character" w:styleId="8">
    <w:name w:val="page number"/>
    <w:basedOn w:val="7"/>
    <w:qFormat/>
    <w:uiPriority w:val="0"/>
    <w:rPr>
      <w:rFonts w:ascii="Calibri" w:hAnsi="Calibri" w:eastAsia="Calibri" w:cs="Times New Roman"/>
    </w:rPr>
  </w:style>
  <w:style w:type="paragraph" w:customStyle="1" w:styleId="9">
    <w:name w:val="首行缩进"/>
    <w:basedOn w:val="1"/>
    <w:qFormat/>
    <w:uiPriority w:val="0"/>
    <w:pPr>
      <w:widowControl/>
      <w:spacing w:line="360" w:lineRule="auto"/>
      <w:ind w:firstLine="480" w:firstLineChars="200"/>
      <w:jc w:val="left"/>
    </w:pPr>
    <w:rPr>
      <w:rFonts w:ascii="宋体" w:hAnsi="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2025-09-15T13:52:00Z</dcterms:created>
  <dc:creator>jiangjiang</dc:creator>
  <cp:lastModifiedBy>jiangjiang</cp:lastModifiedBy>
  <dcterms:modified xsi:type="dcterms:W3CDTF">2025-09-15T13:54:33Z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3710A037507A4718A328D7B2B9C3DD49_13</vt:lpwstr>
  </property>
  <property fmtid="{D5CDD505-2E9C-101B-9397-08002B2CF9AE}" pid="4" name="KSOTemplateDocerSaveRecord">
    <vt:lpwstr>eyJoZGlkIjoiNWE1NThhNzJmMjM0NTA4MTJmMDRhZWRlYmE5YTE5NGIiLCJ1c2VySWQiOiIyMzIyOTY4MDkifQ==</vt:lpwstr>
  </property>
</Properties>
</file>