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7599" w:rsidRDefault="00B37599" w:rsidP="00351CAF">
      <w:pPr>
        <w:widowControl w:val="0"/>
        <w:spacing w:line="312" w:lineRule="exact"/>
        <w:ind w:firstLine="420"/>
        <w:rPr>
          <w:sz w:val="21"/>
          <w:szCs w:val="21"/>
        </w:rPr>
      </w:pPr>
    </w:p>
    <w:p w:rsidR="00B37599" w:rsidRDefault="00B37599" w:rsidP="00351CAF">
      <w:pPr>
        <w:widowControl w:val="0"/>
        <w:spacing w:line="312" w:lineRule="exact"/>
        <w:ind w:firstLine="420"/>
        <w:rPr>
          <w:sz w:val="21"/>
          <w:szCs w:val="21"/>
        </w:rPr>
      </w:pPr>
    </w:p>
    <w:p w:rsidR="00B37599" w:rsidRDefault="00B37599" w:rsidP="00351CAF">
      <w:pPr>
        <w:widowControl w:val="0"/>
        <w:spacing w:line="312" w:lineRule="exact"/>
        <w:ind w:firstLine="420"/>
        <w:rPr>
          <w:sz w:val="21"/>
          <w:szCs w:val="21"/>
        </w:rPr>
      </w:pPr>
    </w:p>
    <w:p w:rsidR="00B37599" w:rsidRDefault="00B37599" w:rsidP="00351CAF">
      <w:pPr>
        <w:widowControl w:val="0"/>
        <w:spacing w:line="312" w:lineRule="exact"/>
        <w:ind w:firstLine="420"/>
        <w:rPr>
          <w:sz w:val="21"/>
          <w:szCs w:val="21"/>
        </w:rPr>
      </w:pPr>
    </w:p>
    <w:p w:rsidR="00B37599" w:rsidRDefault="00B37599" w:rsidP="00351CAF">
      <w:pPr>
        <w:spacing w:after="0" w:line="220" w:lineRule="exact"/>
        <w:ind w:firstLine="420"/>
        <w:rPr>
          <w:sz w:val="21"/>
          <w:szCs w:val="21"/>
        </w:rPr>
      </w:pPr>
    </w:p>
    <w:p w:rsidR="00B37599" w:rsidRDefault="00955C08">
      <w:pPr>
        <w:ind w:firstLineChars="0" w:firstLine="0"/>
        <w:jc w:val="center"/>
        <w:rPr>
          <w:rFonts w:ascii="楷体_GB2312" w:eastAsia="楷体_GB2312" w:hAnsi="楷体"/>
          <w:szCs w:val="32"/>
        </w:rPr>
      </w:pPr>
      <w:bookmarkStart w:id="0" w:name="PO_DocNum"/>
      <w:bookmarkEnd w:id="0"/>
      <w:r>
        <w:rPr>
          <w:rFonts w:ascii="楷体_GB2312" w:eastAsia="楷体_GB2312" w:hAnsi="楷体" w:hint="eastAsia"/>
          <w:szCs w:val="32"/>
        </w:rPr>
        <w:t>宜政办发〔</w:t>
      </w:r>
      <w:r>
        <w:rPr>
          <w:rFonts w:ascii="楷体_GB2312" w:eastAsia="楷体_GB2312" w:hAnsi="楷体" w:hint="eastAsia"/>
          <w:szCs w:val="32"/>
        </w:rPr>
        <w:t>2024</w:t>
      </w:r>
      <w:r>
        <w:rPr>
          <w:rFonts w:ascii="楷体_GB2312" w:eastAsia="楷体_GB2312" w:hAnsi="楷体" w:hint="eastAsia"/>
          <w:szCs w:val="32"/>
        </w:rPr>
        <w:t>〕</w:t>
      </w:r>
      <w:r>
        <w:rPr>
          <w:rFonts w:ascii="楷体_GB2312" w:eastAsia="楷体_GB2312" w:hAnsi="楷体" w:hint="eastAsia"/>
          <w:szCs w:val="32"/>
        </w:rPr>
        <w:t>22</w:t>
      </w:r>
      <w:r>
        <w:rPr>
          <w:rFonts w:ascii="楷体_GB2312" w:eastAsia="楷体_GB2312" w:hAnsi="楷体" w:hint="eastAsia"/>
          <w:szCs w:val="32"/>
        </w:rPr>
        <w:t>号</w:t>
      </w:r>
    </w:p>
    <w:p w:rsidR="00B37599" w:rsidRDefault="00B37599">
      <w:pPr>
        <w:pStyle w:val="a0"/>
        <w:spacing w:after="0" w:line="560" w:lineRule="exact"/>
        <w:rPr>
          <w:rFonts w:eastAsia="华文中宋"/>
          <w:b/>
          <w:color w:val="FF0000"/>
          <w:w w:val="50"/>
          <w:sz w:val="140"/>
          <w:szCs w:val="140"/>
        </w:rPr>
      </w:pPr>
      <w:bookmarkStart w:id="1" w:name="quanwen"/>
    </w:p>
    <w:p w:rsidR="00B37599" w:rsidRDefault="00B37599">
      <w:pPr>
        <w:pStyle w:val="a0"/>
        <w:widowControl w:val="0"/>
        <w:overflowPunct w:val="0"/>
        <w:spacing w:after="0" w:line="400" w:lineRule="exact"/>
        <w:rPr>
          <w:rFonts w:eastAsia="方正小标宋_GBK"/>
        </w:rPr>
      </w:pPr>
    </w:p>
    <w:p w:rsidR="00B37599" w:rsidRDefault="00955C08">
      <w:pPr>
        <w:pStyle w:val="a0"/>
        <w:widowControl w:val="0"/>
        <w:overflowPunct w:val="0"/>
        <w:spacing w:after="0" w:line="576" w:lineRule="exact"/>
        <w:rPr>
          <w:rFonts w:eastAsia="方正小标宋_GBK"/>
        </w:rPr>
      </w:pPr>
      <w:r>
        <w:rPr>
          <w:rFonts w:eastAsia="方正小标宋_GBK" w:hint="eastAsia"/>
        </w:rPr>
        <w:t>市政府办公室关于印发《宜兴市国家</w:t>
      </w:r>
    </w:p>
    <w:p w:rsidR="00B37599" w:rsidRDefault="00955C08">
      <w:pPr>
        <w:pStyle w:val="a0"/>
        <w:widowControl w:val="0"/>
        <w:overflowPunct w:val="0"/>
        <w:spacing w:after="0" w:line="576" w:lineRule="exact"/>
        <w:rPr>
          <w:rFonts w:eastAsia="方正小标宋_GBK"/>
        </w:rPr>
      </w:pPr>
      <w:r>
        <w:rPr>
          <w:rFonts w:eastAsia="方正小标宋_GBK" w:hint="eastAsia"/>
        </w:rPr>
        <w:t>知识产权强县建设示范县工作方案</w:t>
      </w:r>
    </w:p>
    <w:p w:rsidR="00B37599" w:rsidRDefault="00955C08">
      <w:pPr>
        <w:pStyle w:val="a0"/>
        <w:widowControl w:val="0"/>
        <w:overflowPunct w:val="0"/>
        <w:spacing w:after="0" w:line="576" w:lineRule="exact"/>
        <w:rPr>
          <w:rFonts w:eastAsia="方正小标宋_GBK"/>
        </w:rPr>
      </w:pPr>
      <w:r>
        <w:rPr>
          <w:rFonts w:eastAsia="方正小标宋_GBK" w:hint="eastAsia"/>
        </w:rPr>
        <w:t>（</w:t>
      </w:r>
      <w:r>
        <w:rPr>
          <w:rFonts w:eastAsia="方正小标宋_GBK" w:hint="eastAsia"/>
        </w:rPr>
        <w:t>2024-2026</w:t>
      </w:r>
      <w:r>
        <w:rPr>
          <w:rFonts w:eastAsia="方正小标宋_GBK" w:hint="eastAsia"/>
        </w:rPr>
        <w:t>年）》的通知</w:t>
      </w:r>
    </w:p>
    <w:p w:rsidR="00B37599" w:rsidRDefault="00B37599">
      <w:pPr>
        <w:pStyle w:val="a0"/>
        <w:widowControl w:val="0"/>
        <w:overflowPunct w:val="0"/>
        <w:spacing w:after="0" w:line="436" w:lineRule="exact"/>
        <w:rPr>
          <w:rFonts w:cs="方正仿宋_GBK"/>
          <w:kern w:val="2"/>
          <w:sz w:val="32"/>
          <w:szCs w:val="32"/>
        </w:rPr>
      </w:pPr>
    </w:p>
    <w:p w:rsidR="00B37599" w:rsidRDefault="00955C08">
      <w:pPr>
        <w:pStyle w:val="a0"/>
        <w:widowControl w:val="0"/>
        <w:overflowPunct w:val="0"/>
        <w:spacing w:after="0" w:line="560" w:lineRule="exact"/>
        <w:jc w:val="left"/>
        <w:rPr>
          <w:rFonts w:eastAsia="仿宋_GB2312"/>
          <w:kern w:val="2"/>
          <w:sz w:val="32"/>
          <w:szCs w:val="32"/>
        </w:rPr>
      </w:pPr>
      <w:r>
        <w:rPr>
          <w:rFonts w:eastAsia="仿宋_GB2312"/>
          <w:kern w:val="2"/>
          <w:sz w:val="32"/>
          <w:szCs w:val="32"/>
        </w:rPr>
        <w:t>各开发区管委会（管理办），各镇人民政府，各街道办事处，市各委办局，市各直属单位：</w:t>
      </w:r>
    </w:p>
    <w:p w:rsidR="00B37599" w:rsidRDefault="00955C08">
      <w:pPr>
        <w:pStyle w:val="a0"/>
        <w:widowControl w:val="0"/>
        <w:overflowPunct w:val="0"/>
        <w:spacing w:after="0" w:line="560" w:lineRule="exact"/>
        <w:ind w:firstLineChars="200" w:firstLine="640"/>
        <w:jc w:val="both"/>
        <w:rPr>
          <w:rFonts w:eastAsia="仿宋_GB2312"/>
          <w:kern w:val="2"/>
          <w:sz w:val="32"/>
          <w:szCs w:val="32"/>
        </w:rPr>
      </w:pPr>
      <w:r>
        <w:rPr>
          <w:rFonts w:eastAsia="仿宋_GB2312"/>
          <w:kern w:val="2"/>
          <w:sz w:val="32"/>
          <w:szCs w:val="32"/>
        </w:rPr>
        <w:t>《宜兴市国家知识产权强县建设示范县工作方案（</w:t>
      </w:r>
      <w:r>
        <w:rPr>
          <w:rFonts w:eastAsia="仿宋_GB2312"/>
          <w:kern w:val="2"/>
          <w:sz w:val="32"/>
          <w:szCs w:val="32"/>
        </w:rPr>
        <w:t>2024—2026</w:t>
      </w:r>
      <w:r>
        <w:rPr>
          <w:rFonts w:eastAsia="仿宋_GB2312"/>
          <w:kern w:val="2"/>
          <w:sz w:val="32"/>
          <w:szCs w:val="32"/>
        </w:rPr>
        <w:t>年）》已经市政府常务会议审议通过，现印发给你们，请认真抓好贯彻落实。</w:t>
      </w:r>
    </w:p>
    <w:p w:rsidR="00B37599" w:rsidRDefault="00B37599">
      <w:pPr>
        <w:pStyle w:val="a0"/>
        <w:widowControl w:val="0"/>
        <w:overflowPunct w:val="0"/>
        <w:spacing w:after="0" w:line="560" w:lineRule="exact"/>
        <w:rPr>
          <w:rFonts w:eastAsia="仿宋_GB2312"/>
          <w:kern w:val="2"/>
          <w:sz w:val="32"/>
          <w:szCs w:val="32"/>
        </w:rPr>
      </w:pPr>
    </w:p>
    <w:p w:rsidR="00B37599" w:rsidRDefault="00B37599">
      <w:pPr>
        <w:pStyle w:val="a0"/>
        <w:widowControl w:val="0"/>
        <w:overflowPunct w:val="0"/>
        <w:spacing w:after="0" w:line="560" w:lineRule="exact"/>
        <w:rPr>
          <w:rFonts w:eastAsia="仿宋_GB2312"/>
          <w:kern w:val="2"/>
          <w:sz w:val="32"/>
          <w:szCs w:val="32"/>
        </w:rPr>
      </w:pPr>
    </w:p>
    <w:p w:rsidR="00B37599" w:rsidRDefault="00955C08">
      <w:pPr>
        <w:pStyle w:val="a0"/>
        <w:widowControl w:val="0"/>
        <w:overflowPunct w:val="0"/>
        <w:spacing w:after="0" w:line="560" w:lineRule="exact"/>
        <w:rPr>
          <w:rFonts w:eastAsia="仿宋_GB2312"/>
          <w:kern w:val="2"/>
          <w:sz w:val="32"/>
          <w:szCs w:val="32"/>
        </w:rPr>
      </w:pPr>
      <w:r>
        <w:rPr>
          <w:rFonts w:eastAsia="仿宋_GB2312"/>
          <w:kern w:val="2"/>
          <w:sz w:val="32"/>
          <w:szCs w:val="32"/>
        </w:rPr>
        <w:t xml:space="preserve">                </w:t>
      </w:r>
      <w:r>
        <w:rPr>
          <w:rFonts w:eastAsia="仿宋_GB2312" w:hint="eastAsia"/>
          <w:kern w:val="2"/>
          <w:sz w:val="32"/>
          <w:szCs w:val="32"/>
        </w:rPr>
        <w:t xml:space="preserve">　</w:t>
      </w:r>
      <w:r>
        <w:rPr>
          <w:rFonts w:eastAsia="仿宋_GB2312"/>
          <w:kern w:val="2"/>
          <w:sz w:val="32"/>
          <w:szCs w:val="32"/>
        </w:rPr>
        <w:t xml:space="preserve"> </w:t>
      </w:r>
      <w:r>
        <w:rPr>
          <w:rFonts w:eastAsia="仿宋_GB2312" w:hint="eastAsia"/>
          <w:kern w:val="2"/>
          <w:sz w:val="32"/>
          <w:szCs w:val="32"/>
        </w:rPr>
        <w:t xml:space="preserve">　</w:t>
      </w:r>
      <w:r>
        <w:rPr>
          <w:rFonts w:eastAsia="仿宋_GB2312"/>
          <w:kern w:val="2"/>
          <w:sz w:val="32"/>
          <w:szCs w:val="32"/>
        </w:rPr>
        <w:t>宜兴市人民政府办公室</w:t>
      </w:r>
    </w:p>
    <w:p w:rsidR="00B37599" w:rsidRDefault="00955C08">
      <w:pPr>
        <w:pStyle w:val="a0"/>
        <w:widowControl w:val="0"/>
        <w:overflowPunct w:val="0"/>
        <w:spacing w:after="0" w:line="560" w:lineRule="exact"/>
        <w:rPr>
          <w:rFonts w:eastAsia="仿宋_GB2312"/>
          <w:kern w:val="2"/>
          <w:sz w:val="32"/>
          <w:szCs w:val="32"/>
        </w:rPr>
      </w:pPr>
      <w:r>
        <w:rPr>
          <w:rFonts w:eastAsia="仿宋_GB2312"/>
          <w:kern w:val="2"/>
          <w:sz w:val="32"/>
          <w:szCs w:val="32"/>
        </w:rPr>
        <w:t xml:space="preserve">                 </w:t>
      </w:r>
      <w:r>
        <w:rPr>
          <w:rFonts w:eastAsia="仿宋_GB2312" w:hint="eastAsia"/>
          <w:kern w:val="2"/>
          <w:sz w:val="32"/>
          <w:szCs w:val="32"/>
        </w:rPr>
        <w:t xml:space="preserve">　</w:t>
      </w:r>
      <w:r>
        <w:rPr>
          <w:rFonts w:eastAsia="仿宋_GB2312"/>
          <w:kern w:val="2"/>
          <w:sz w:val="32"/>
          <w:szCs w:val="32"/>
        </w:rPr>
        <w:t xml:space="preserve"> </w:t>
      </w:r>
      <w:r>
        <w:rPr>
          <w:rFonts w:eastAsia="仿宋_GB2312" w:hint="eastAsia"/>
          <w:kern w:val="2"/>
          <w:sz w:val="32"/>
          <w:szCs w:val="32"/>
        </w:rPr>
        <w:t xml:space="preserve">　</w:t>
      </w:r>
      <w:r>
        <w:rPr>
          <w:rFonts w:eastAsia="仿宋_GB2312"/>
          <w:kern w:val="2"/>
          <w:sz w:val="32"/>
          <w:szCs w:val="32"/>
        </w:rPr>
        <w:t>2024</w:t>
      </w:r>
      <w:r>
        <w:rPr>
          <w:rFonts w:eastAsia="仿宋_GB2312"/>
          <w:kern w:val="2"/>
          <w:sz w:val="32"/>
          <w:szCs w:val="32"/>
        </w:rPr>
        <w:t>年</w:t>
      </w:r>
      <w:r>
        <w:rPr>
          <w:rFonts w:eastAsia="仿宋_GB2312"/>
          <w:kern w:val="2"/>
          <w:sz w:val="32"/>
          <w:szCs w:val="32"/>
        </w:rPr>
        <w:t>6</w:t>
      </w:r>
      <w:r>
        <w:rPr>
          <w:rFonts w:eastAsia="仿宋_GB2312"/>
          <w:kern w:val="2"/>
          <w:sz w:val="32"/>
          <w:szCs w:val="32"/>
        </w:rPr>
        <w:t>月</w:t>
      </w:r>
      <w:r>
        <w:rPr>
          <w:rFonts w:eastAsia="仿宋_GB2312"/>
          <w:kern w:val="2"/>
          <w:sz w:val="32"/>
          <w:szCs w:val="32"/>
        </w:rPr>
        <w:t>1</w:t>
      </w:r>
      <w:r>
        <w:rPr>
          <w:rFonts w:eastAsia="仿宋_GB2312" w:hint="eastAsia"/>
          <w:kern w:val="2"/>
          <w:sz w:val="32"/>
          <w:szCs w:val="32"/>
        </w:rPr>
        <w:t>2</w:t>
      </w:r>
      <w:bookmarkStart w:id="2" w:name="_GoBack"/>
      <w:bookmarkEnd w:id="2"/>
      <w:r>
        <w:rPr>
          <w:rFonts w:eastAsia="仿宋_GB2312"/>
          <w:kern w:val="2"/>
          <w:sz w:val="32"/>
          <w:szCs w:val="32"/>
        </w:rPr>
        <w:t>日</w:t>
      </w:r>
    </w:p>
    <w:p w:rsidR="00B37599" w:rsidRDefault="00955C08">
      <w:pPr>
        <w:widowControl w:val="0"/>
        <w:overflowPunct w:val="0"/>
        <w:spacing w:after="0" w:line="560" w:lineRule="exact"/>
        <w:ind w:firstLineChars="0" w:firstLine="0"/>
        <w:jc w:val="center"/>
        <w:rPr>
          <w:rFonts w:eastAsia="方正小标宋_GBK"/>
          <w:sz w:val="44"/>
          <w:szCs w:val="44"/>
        </w:rPr>
      </w:pPr>
      <w:r>
        <w:rPr>
          <w:rFonts w:eastAsia="方正小标宋_GBK"/>
          <w:sz w:val="44"/>
          <w:szCs w:val="44"/>
        </w:rPr>
        <w:br w:type="page"/>
      </w:r>
    </w:p>
    <w:p w:rsidR="00B37599" w:rsidRDefault="00955C08">
      <w:pPr>
        <w:widowControl w:val="0"/>
        <w:overflowPunct w:val="0"/>
        <w:spacing w:after="0" w:line="600" w:lineRule="exact"/>
        <w:ind w:firstLineChars="0" w:firstLine="0"/>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lastRenderedPageBreak/>
        <w:t>宜兴市国家知识产权强县建设示范县</w:t>
      </w:r>
    </w:p>
    <w:p w:rsidR="00B37599" w:rsidRDefault="00955C08">
      <w:pPr>
        <w:widowControl w:val="0"/>
        <w:overflowPunct w:val="0"/>
        <w:spacing w:after="0" w:line="600" w:lineRule="exact"/>
        <w:ind w:firstLineChars="0" w:firstLine="0"/>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工作方案（</w:t>
      </w:r>
      <w:r>
        <w:rPr>
          <w:rFonts w:ascii="方正小标宋_GBK" w:eastAsia="方正小标宋_GBK" w:hAnsi="方正小标宋_GBK" w:cs="方正小标宋_GBK" w:hint="eastAsia"/>
          <w:sz w:val="44"/>
          <w:szCs w:val="44"/>
        </w:rPr>
        <w:t>2024</w:t>
      </w:r>
      <w:r>
        <w:rPr>
          <w:rFonts w:ascii="方正小标宋_GBK" w:eastAsia="方正小标宋_GBK" w:hAnsi="方正小标宋_GBK" w:cs="方正小标宋_GBK" w:hint="eastAsia"/>
          <w:kern w:val="2"/>
          <w:sz w:val="44"/>
          <w:szCs w:val="44"/>
        </w:rPr>
        <w:t>—</w:t>
      </w:r>
      <w:r>
        <w:rPr>
          <w:rFonts w:ascii="方正小标宋_GBK" w:eastAsia="方正小标宋_GBK" w:hAnsi="方正小标宋_GBK" w:cs="方正小标宋_GBK" w:hint="eastAsia"/>
          <w:sz w:val="44"/>
          <w:szCs w:val="44"/>
        </w:rPr>
        <w:t>2026</w:t>
      </w:r>
      <w:r>
        <w:rPr>
          <w:rFonts w:ascii="方正小标宋_GBK" w:eastAsia="方正小标宋_GBK" w:hAnsi="方正小标宋_GBK" w:cs="方正小标宋_GBK" w:hint="eastAsia"/>
          <w:sz w:val="44"/>
          <w:szCs w:val="44"/>
        </w:rPr>
        <w:t>年）</w:t>
      </w:r>
    </w:p>
    <w:p w:rsidR="00B37599" w:rsidRDefault="00B37599">
      <w:pPr>
        <w:widowControl w:val="0"/>
        <w:overflowPunct w:val="0"/>
        <w:spacing w:after="0" w:line="576" w:lineRule="exact"/>
        <w:ind w:firstLineChars="0" w:firstLine="0"/>
        <w:jc w:val="center"/>
        <w:rPr>
          <w:rFonts w:eastAsia="方正楷体_GBK" w:cs="方正楷体_GBK"/>
          <w:kern w:val="2"/>
          <w:szCs w:val="21"/>
        </w:rPr>
      </w:pPr>
    </w:p>
    <w:p w:rsidR="00B37599" w:rsidRDefault="00955C08" w:rsidP="00351CAF">
      <w:pPr>
        <w:pStyle w:val="ab"/>
        <w:widowControl w:val="0"/>
        <w:overflowPunct w:val="0"/>
        <w:spacing w:beforeAutospacing="0" w:after="0" w:afterAutospacing="0" w:line="576" w:lineRule="exact"/>
        <w:ind w:firstLine="640"/>
        <w:jc w:val="both"/>
        <w:rPr>
          <w:rFonts w:eastAsia="仿宋_GB2312"/>
          <w:kern w:val="2"/>
          <w:sz w:val="32"/>
          <w:szCs w:val="32"/>
        </w:rPr>
      </w:pPr>
      <w:r>
        <w:rPr>
          <w:rFonts w:eastAsia="仿宋_GB2312"/>
          <w:kern w:val="2"/>
          <w:sz w:val="32"/>
          <w:szCs w:val="32"/>
        </w:rPr>
        <w:t>为认真贯彻党中央国务院、省委省政府和无锡市委市政府决策部署，深入践行</w:t>
      </w:r>
      <w:r>
        <w:rPr>
          <w:rFonts w:eastAsia="仿宋_GB2312"/>
          <w:kern w:val="2"/>
          <w:sz w:val="32"/>
          <w:szCs w:val="32"/>
        </w:rPr>
        <w:t>“</w:t>
      </w:r>
      <w:r>
        <w:rPr>
          <w:rFonts w:eastAsia="仿宋_GB2312"/>
          <w:kern w:val="2"/>
          <w:sz w:val="32"/>
          <w:szCs w:val="32"/>
        </w:rPr>
        <w:t>争当表率、争做示范、走在前列</w:t>
      </w:r>
      <w:r>
        <w:rPr>
          <w:rFonts w:eastAsia="仿宋_GB2312"/>
          <w:kern w:val="2"/>
          <w:sz w:val="32"/>
          <w:szCs w:val="32"/>
        </w:rPr>
        <w:t>”</w:t>
      </w:r>
      <w:r>
        <w:rPr>
          <w:rFonts w:eastAsia="仿宋_GB2312"/>
          <w:kern w:val="2"/>
          <w:sz w:val="32"/>
          <w:szCs w:val="32"/>
        </w:rPr>
        <w:t>新使命新要求，全面提升我市知识产权综合实力，确保我市国家知识产权强县建设示范县取得实效，根据《国家知识产权局关于确定国家知识产权强市建设试点示范城市、强县建设试点示范县的通知》（国知发运字〔</w:t>
      </w:r>
      <w:r>
        <w:rPr>
          <w:rFonts w:eastAsia="仿宋_GB2312"/>
          <w:kern w:val="2"/>
          <w:sz w:val="32"/>
          <w:szCs w:val="32"/>
        </w:rPr>
        <w:t>2024</w:t>
      </w:r>
      <w:r>
        <w:rPr>
          <w:rFonts w:eastAsia="仿宋_GB2312"/>
          <w:kern w:val="2"/>
          <w:sz w:val="32"/>
          <w:szCs w:val="32"/>
        </w:rPr>
        <w:t>〕</w:t>
      </w:r>
      <w:r>
        <w:rPr>
          <w:rFonts w:eastAsia="仿宋_GB2312"/>
          <w:kern w:val="2"/>
          <w:sz w:val="32"/>
          <w:szCs w:val="32"/>
        </w:rPr>
        <w:t>2</w:t>
      </w:r>
      <w:r>
        <w:rPr>
          <w:rFonts w:eastAsia="仿宋_GB2312"/>
          <w:kern w:val="2"/>
          <w:sz w:val="32"/>
          <w:szCs w:val="32"/>
        </w:rPr>
        <w:t>号）要求，结合我市知识产权工作实际，特制定本工作方案（以下简称《工作方案》）。</w:t>
      </w:r>
    </w:p>
    <w:p w:rsidR="00B37599" w:rsidRDefault="00955C08" w:rsidP="00351CAF">
      <w:pPr>
        <w:pStyle w:val="ab"/>
        <w:widowControl w:val="0"/>
        <w:overflowPunct w:val="0"/>
        <w:spacing w:beforeAutospacing="0" w:after="0" w:afterAutospacing="0" w:line="576" w:lineRule="exact"/>
        <w:ind w:firstLine="640"/>
        <w:jc w:val="both"/>
        <w:rPr>
          <w:rFonts w:ascii="黑体" w:eastAsia="黑体" w:hAnsi="黑体" w:cs="黑体"/>
          <w:kern w:val="2"/>
          <w:sz w:val="32"/>
          <w:szCs w:val="32"/>
        </w:rPr>
      </w:pPr>
      <w:r>
        <w:rPr>
          <w:rFonts w:ascii="黑体" w:eastAsia="黑体" w:hAnsi="黑体" w:cs="黑体" w:hint="eastAsia"/>
          <w:kern w:val="2"/>
          <w:sz w:val="32"/>
          <w:szCs w:val="32"/>
        </w:rPr>
        <w:t>一、指导思想</w:t>
      </w:r>
    </w:p>
    <w:p w:rsidR="00B37599" w:rsidRDefault="00955C08" w:rsidP="00351CAF">
      <w:pPr>
        <w:pStyle w:val="ab"/>
        <w:widowControl w:val="0"/>
        <w:overflowPunct w:val="0"/>
        <w:spacing w:beforeAutospacing="0" w:after="0" w:afterAutospacing="0" w:line="576" w:lineRule="exact"/>
        <w:ind w:firstLine="640"/>
        <w:jc w:val="both"/>
        <w:rPr>
          <w:rFonts w:eastAsia="仿宋_GB2312"/>
          <w:bCs/>
          <w:kern w:val="2"/>
          <w:sz w:val="32"/>
          <w:szCs w:val="32"/>
        </w:rPr>
      </w:pPr>
      <w:r>
        <w:rPr>
          <w:rFonts w:eastAsia="仿宋_GB2312"/>
          <w:bCs/>
          <w:kern w:val="2"/>
          <w:sz w:val="32"/>
          <w:szCs w:val="32"/>
        </w:rPr>
        <w:t>坚持以习近平新时代中国特色社会主义思想为指导，全面贯彻党的二十大精神，深入落实习近平总书记关于知识产权工作的重要论述，立足新发展阶段，贯彻新发展理念，构建新发展格局，以推动高质量发展为主题，以改革创新为根本动力，以融入长三角区域一体化、锡宜一体化为契机，打通知识产权创造、运用、保护、管理和服务全链条，推进知识产权治理体系和治理能力现代化，建成制度完善、保护严格、运行高效、服务便捷、文化自觉、人才集聚的国家知识产权强县，为打造区域性国际化中心城市、谱写</w:t>
      </w:r>
      <w:r>
        <w:rPr>
          <w:rFonts w:eastAsia="仿宋_GB2312"/>
          <w:bCs/>
          <w:kern w:val="2"/>
          <w:sz w:val="32"/>
          <w:szCs w:val="32"/>
        </w:rPr>
        <w:t>“</w:t>
      </w:r>
      <w:r>
        <w:rPr>
          <w:rFonts w:eastAsia="仿宋_GB2312"/>
          <w:bCs/>
          <w:kern w:val="2"/>
          <w:sz w:val="32"/>
          <w:szCs w:val="32"/>
        </w:rPr>
        <w:t>强富美高</w:t>
      </w:r>
      <w:r>
        <w:rPr>
          <w:rFonts w:eastAsia="仿宋_GB2312"/>
          <w:bCs/>
          <w:kern w:val="2"/>
          <w:sz w:val="32"/>
          <w:szCs w:val="32"/>
        </w:rPr>
        <w:t>”</w:t>
      </w:r>
      <w:r>
        <w:rPr>
          <w:rFonts w:eastAsia="仿宋_GB2312"/>
          <w:bCs/>
          <w:kern w:val="2"/>
          <w:sz w:val="32"/>
          <w:szCs w:val="32"/>
        </w:rPr>
        <w:t>新宜兴建设崭新篇章提供坚实保障。</w:t>
      </w:r>
    </w:p>
    <w:p w:rsidR="00B37599" w:rsidRDefault="00955C08" w:rsidP="00351CAF">
      <w:pPr>
        <w:pStyle w:val="ab"/>
        <w:widowControl w:val="0"/>
        <w:overflowPunct w:val="0"/>
        <w:spacing w:beforeAutospacing="0" w:after="0" w:afterAutospacing="0" w:line="576" w:lineRule="exact"/>
        <w:ind w:firstLine="640"/>
        <w:jc w:val="both"/>
        <w:rPr>
          <w:rFonts w:ascii="黑体" w:eastAsia="黑体" w:hAnsi="黑体" w:cs="黑体"/>
          <w:kern w:val="2"/>
          <w:sz w:val="32"/>
          <w:szCs w:val="32"/>
        </w:rPr>
      </w:pPr>
      <w:r>
        <w:rPr>
          <w:rFonts w:ascii="黑体" w:eastAsia="黑体" w:hAnsi="黑体" w:cs="黑体"/>
          <w:kern w:val="2"/>
          <w:sz w:val="32"/>
          <w:szCs w:val="32"/>
        </w:rPr>
        <w:t>二、工作目标</w:t>
      </w:r>
    </w:p>
    <w:p w:rsidR="00B37599" w:rsidRDefault="00955C08" w:rsidP="00351CAF">
      <w:pPr>
        <w:pStyle w:val="ab"/>
        <w:widowControl w:val="0"/>
        <w:overflowPunct w:val="0"/>
        <w:spacing w:beforeAutospacing="0" w:after="0" w:afterAutospacing="0" w:line="576" w:lineRule="exact"/>
        <w:ind w:firstLine="640"/>
        <w:jc w:val="both"/>
        <w:rPr>
          <w:rFonts w:eastAsia="仿宋_GB2312"/>
          <w:kern w:val="2"/>
          <w:sz w:val="32"/>
          <w:szCs w:val="32"/>
        </w:rPr>
      </w:pPr>
      <w:r>
        <w:rPr>
          <w:rFonts w:eastAsia="仿宋_GB2312"/>
          <w:bCs/>
          <w:kern w:val="2"/>
          <w:sz w:val="32"/>
          <w:szCs w:val="32"/>
        </w:rPr>
        <w:t>到</w:t>
      </w:r>
      <w:r>
        <w:rPr>
          <w:rFonts w:eastAsia="仿宋_GB2312"/>
          <w:bCs/>
          <w:kern w:val="2"/>
          <w:sz w:val="32"/>
          <w:szCs w:val="32"/>
        </w:rPr>
        <w:t>2026</w:t>
      </w:r>
      <w:r>
        <w:rPr>
          <w:rFonts w:eastAsia="仿宋_GB2312"/>
          <w:bCs/>
          <w:kern w:val="2"/>
          <w:sz w:val="32"/>
          <w:szCs w:val="32"/>
        </w:rPr>
        <w:t>年，全市知识产权创造、运用、保护、管理和服务</w:t>
      </w:r>
      <w:r>
        <w:rPr>
          <w:rFonts w:eastAsia="仿宋_GB2312"/>
          <w:bCs/>
          <w:kern w:val="2"/>
          <w:sz w:val="32"/>
          <w:szCs w:val="32"/>
        </w:rPr>
        <w:lastRenderedPageBreak/>
        <w:t>全链条生态体系逐步建成，知识产权综合实力大幅提升，知识产权主要指标位居全国县（区）前列，知识产权治理能力和治理水平达到全国领先水平，知识产权对经济社会发展的支撑作用大幅提升，社会满意度始终保持较高水平，</w:t>
      </w:r>
      <w:r>
        <w:rPr>
          <w:rFonts w:eastAsia="仿宋_GB2312"/>
          <w:kern w:val="2"/>
          <w:sz w:val="32"/>
          <w:szCs w:val="32"/>
        </w:rPr>
        <w:t>全面建成国家知识产权强县建设示范县。</w:t>
      </w:r>
    </w:p>
    <w:p w:rsidR="00B37599" w:rsidRDefault="00955C08" w:rsidP="00351CAF">
      <w:pPr>
        <w:pStyle w:val="a4"/>
        <w:widowControl w:val="0"/>
        <w:overflowPunct w:val="0"/>
        <w:spacing w:after="0" w:line="576" w:lineRule="exact"/>
        <w:ind w:firstLine="640"/>
        <w:jc w:val="both"/>
        <w:rPr>
          <w:rFonts w:ascii="Times New Roman" w:eastAsia="仿宋_GB2312" w:hAnsi="Times New Roman"/>
          <w:szCs w:val="32"/>
        </w:rPr>
      </w:pPr>
      <w:r>
        <w:rPr>
          <w:rFonts w:ascii="Times New Roman" w:eastAsia="仿宋_GB2312" w:hAnsi="Times New Roman"/>
          <w:szCs w:val="32"/>
        </w:rPr>
        <w:t>——</w:t>
      </w:r>
      <w:r>
        <w:rPr>
          <w:rFonts w:ascii="楷体_GB2312" w:eastAsia="楷体_GB2312" w:hAnsi="楷体_GB2312" w:cs="楷体_GB2312" w:hint="eastAsia"/>
          <w:szCs w:val="32"/>
        </w:rPr>
        <w:t>知识产权管理全面提升。</w:t>
      </w:r>
      <w:r>
        <w:rPr>
          <w:rFonts w:ascii="Times New Roman" w:eastAsia="仿宋_GB2312" w:hAnsi="Times New Roman"/>
          <w:szCs w:val="32"/>
        </w:rPr>
        <w:t>优化知识产权顶层设计，建立高效运行的知识产权管理体系和协同保护机制，完善知识产权考核体系，优化知识产权政策支持。新增</w:t>
      </w:r>
      <w:r>
        <w:rPr>
          <w:rFonts w:ascii="Times New Roman" w:eastAsia="仿宋_GB2312" w:hAnsi="Times New Roman"/>
          <w:szCs w:val="32"/>
        </w:rPr>
        <w:t>1</w:t>
      </w:r>
      <w:r>
        <w:rPr>
          <w:rFonts w:ascii="Times New Roman" w:eastAsia="仿宋_GB2312" w:hAnsi="Times New Roman"/>
          <w:szCs w:val="32"/>
        </w:rPr>
        <w:t>个国家知识产权试点园区、</w:t>
      </w:r>
      <w:r>
        <w:rPr>
          <w:rFonts w:ascii="Times New Roman" w:eastAsia="仿宋_GB2312" w:hAnsi="Times New Roman"/>
          <w:szCs w:val="32"/>
        </w:rPr>
        <w:t>1</w:t>
      </w:r>
      <w:r>
        <w:rPr>
          <w:rFonts w:ascii="Times New Roman" w:eastAsia="仿宋_GB2312" w:hAnsi="Times New Roman"/>
          <w:szCs w:val="32"/>
        </w:rPr>
        <w:t>个省级知识产权示范园区，建成国家知识产权强县</w:t>
      </w:r>
      <w:r>
        <w:rPr>
          <w:rFonts w:ascii="Times New Roman" w:eastAsia="仿宋_GB2312" w:hAnsi="Times New Roman"/>
          <w:kern w:val="2"/>
          <w:szCs w:val="32"/>
        </w:rPr>
        <w:t>建</w:t>
      </w:r>
      <w:r>
        <w:rPr>
          <w:rFonts w:ascii="Times New Roman" w:eastAsia="仿宋_GB2312" w:hAnsi="Times New Roman"/>
          <w:kern w:val="2"/>
          <w:szCs w:val="32"/>
        </w:rPr>
        <w:t>设</w:t>
      </w:r>
      <w:r>
        <w:rPr>
          <w:rFonts w:ascii="Times New Roman" w:eastAsia="仿宋_GB2312" w:hAnsi="Times New Roman"/>
          <w:szCs w:val="32"/>
        </w:rPr>
        <w:t>示范县，争创江苏省版权示范城市。</w:t>
      </w:r>
    </w:p>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w:t>
      </w:r>
      <w:r>
        <w:rPr>
          <w:rFonts w:ascii="楷体_GB2312" w:eastAsia="楷体_GB2312" w:hAnsi="楷体_GB2312" w:cs="楷体_GB2312"/>
          <w:szCs w:val="32"/>
        </w:rPr>
        <w:t>知识产权创造量质并举。</w:t>
      </w:r>
      <w:r>
        <w:rPr>
          <w:rFonts w:eastAsia="仿宋_GB2312"/>
          <w:szCs w:val="32"/>
        </w:rPr>
        <w:t>授权专利量累计达</w:t>
      </w:r>
      <w:r>
        <w:rPr>
          <w:rFonts w:eastAsia="仿宋_GB2312"/>
          <w:szCs w:val="32"/>
        </w:rPr>
        <w:t>3.5</w:t>
      </w:r>
      <w:r>
        <w:rPr>
          <w:rFonts w:eastAsia="仿宋_GB2312"/>
          <w:szCs w:val="32"/>
        </w:rPr>
        <w:t>万件，万人高价值发明专利拥有量达</w:t>
      </w:r>
      <w:r>
        <w:rPr>
          <w:rFonts w:eastAsia="仿宋_GB2312"/>
          <w:szCs w:val="32"/>
        </w:rPr>
        <w:t>20</w:t>
      </w:r>
      <w:r>
        <w:rPr>
          <w:rFonts w:eastAsia="仿宋_GB2312"/>
          <w:szCs w:val="32"/>
        </w:rPr>
        <w:t>件，企业专利授权量占比达</w:t>
      </w:r>
      <w:r>
        <w:rPr>
          <w:rFonts w:eastAsia="仿宋_GB2312"/>
          <w:szCs w:val="32"/>
        </w:rPr>
        <w:t>93%</w:t>
      </w:r>
      <w:r>
        <w:rPr>
          <w:rFonts w:eastAsia="仿宋_GB2312"/>
          <w:szCs w:val="32"/>
        </w:rPr>
        <w:t>以上。累计海外专利授权量</w:t>
      </w:r>
      <w:r>
        <w:rPr>
          <w:rFonts w:eastAsia="仿宋_GB2312"/>
          <w:szCs w:val="32"/>
        </w:rPr>
        <w:t>120</w:t>
      </w:r>
      <w:r>
        <w:rPr>
          <w:rFonts w:eastAsia="仿宋_GB2312"/>
          <w:szCs w:val="32"/>
        </w:rPr>
        <w:t>件，万人作品著作权登记量达</w:t>
      </w:r>
      <w:r>
        <w:rPr>
          <w:rFonts w:eastAsia="仿宋_GB2312"/>
          <w:szCs w:val="32"/>
        </w:rPr>
        <w:t>60</w:t>
      </w:r>
      <w:r>
        <w:rPr>
          <w:rFonts w:eastAsia="仿宋_GB2312"/>
          <w:szCs w:val="32"/>
        </w:rPr>
        <w:t>件，马德里商标有效注册量达</w:t>
      </w:r>
      <w:r>
        <w:rPr>
          <w:rFonts w:eastAsia="仿宋_GB2312"/>
          <w:szCs w:val="32"/>
        </w:rPr>
        <w:t>50</w:t>
      </w:r>
      <w:r>
        <w:rPr>
          <w:rFonts w:eastAsia="仿宋_GB2312"/>
          <w:szCs w:val="32"/>
        </w:rPr>
        <w:t>件，集体商标、证明商标达</w:t>
      </w:r>
      <w:r>
        <w:rPr>
          <w:rFonts w:eastAsia="仿宋_GB2312"/>
          <w:szCs w:val="32"/>
        </w:rPr>
        <w:t>10</w:t>
      </w:r>
      <w:r>
        <w:rPr>
          <w:rFonts w:eastAsia="仿宋_GB2312"/>
          <w:szCs w:val="32"/>
        </w:rPr>
        <w:t>件，集成电路设计登记量达</w:t>
      </w:r>
      <w:r>
        <w:rPr>
          <w:rFonts w:eastAsia="仿宋_GB2312"/>
          <w:szCs w:val="32"/>
        </w:rPr>
        <w:t>100</w:t>
      </w:r>
      <w:r>
        <w:rPr>
          <w:rFonts w:eastAsia="仿宋_GB2312"/>
          <w:szCs w:val="32"/>
        </w:rPr>
        <w:t>件，各级专利奖超</w:t>
      </w:r>
      <w:r>
        <w:rPr>
          <w:rFonts w:eastAsia="仿宋_GB2312"/>
          <w:szCs w:val="32"/>
        </w:rPr>
        <w:t>70</w:t>
      </w:r>
      <w:r>
        <w:rPr>
          <w:rFonts w:eastAsia="仿宋_GB2312"/>
          <w:szCs w:val="32"/>
        </w:rPr>
        <w:t>件，建成</w:t>
      </w:r>
      <w:r>
        <w:rPr>
          <w:rFonts w:eastAsia="仿宋_GB2312"/>
          <w:szCs w:val="32"/>
        </w:rPr>
        <w:t>1</w:t>
      </w:r>
      <w:r>
        <w:rPr>
          <w:rFonts w:eastAsia="仿宋_GB2312"/>
          <w:szCs w:val="32"/>
        </w:rPr>
        <w:t>家省级以上高价值专利培育中心。</w:t>
      </w:r>
    </w:p>
    <w:p w:rsidR="00B37599" w:rsidRDefault="00955C08" w:rsidP="00351CAF">
      <w:pPr>
        <w:pStyle w:val="ab"/>
        <w:widowControl w:val="0"/>
        <w:overflowPunct w:val="0"/>
        <w:spacing w:beforeAutospacing="0" w:after="0" w:afterAutospacing="0" w:line="576" w:lineRule="exact"/>
        <w:ind w:firstLine="640"/>
        <w:jc w:val="both"/>
        <w:rPr>
          <w:rFonts w:eastAsia="仿宋_GB2312"/>
          <w:sz w:val="32"/>
          <w:szCs w:val="32"/>
        </w:rPr>
      </w:pPr>
      <w:r>
        <w:rPr>
          <w:rFonts w:eastAsia="仿宋_GB2312"/>
          <w:sz w:val="32"/>
          <w:szCs w:val="32"/>
        </w:rPr>
        <w:t>——</w:t>
      </w:r>
      <w:r>
        <w:rPr>
          <w:rFonts w:ascii="楷体_GB2312" w:eastAsia="楷体_GB2312" w:hAnsi="楷体_GB2312" w:cs="楷体_GB2312"/>
          <w:sz w:val="32"/>
          <w:szCs w:val="32"/>
        </w:rPr>
        <w:t>知识产权保护环境持续优化。</w:t>
      </w:r>
      <w:r>
        <w:rPr>
          <w:rFonts w:eastAsia="仿宋_GB2312"/>
          <w:kern w:val="2"/>
          <w:sz w:val="32"/>
          <w:szCs w:val="32"/>
        </w:rPr>
        <w:t>建强维权援助、仲裁调</w:t>
      </w:r>
      <w:r>
        <w:rPr>
          <w:rFonts w:eastAsia="仿宋_GB2312"/>
          <w:spacing w:val="-6"/>
          <w:kern w:val="2"/>
          <w:sz w:val="32"/>
          <w:szCs w:val="32"/>
        </w:rPr>
        <w:t>解、行业自律、行政司法优势互补的知识产权共治体系，</w:t>
      </w:r>
      <w:r>
        <w:rPr>
          <w:rFonts w:eastAsia="仿宋_GB2312"/>
          <w:spacing w:val="-6"/>
          <w:sz w:val="32"/>
          <w:szCs w:val="32"/>
        </w:rPr>
        <w:t>建成省级知识产权保护示范区，新增国家级知识产权快速维权中心</w:t>
      </w:r>
      <w:r>
        <w:rPr>
          <w:rFonts w:eastAsia="仿宋_GB2312"/>
          <w:spacing w:val="-6"/>
          <w:sz w:val="32"/>
          <w:szCs w:val="32"/>
        </w:rPr>
        <w:t>1</w:t>
      </w:r>
      <w:r>
        <w:rPr>
          <w:rFonts w:eastAsia="仿宋_GB2312"/>
          <w:spacing w:val="-6"/>
          <w:sz w:val="32"/>
          <w:szCs w:val="32"/>
        </w:rPr>
        <w:t>家、保护中心分中心</w:t>
      </w:r>
      <w:r>
        <w:rPr>
          <w:rFonts w:eastAsia="仿宋_GB2312"/>
          <w:spacing w:val="-6"/>
          <w:sz w:val="32"/>
          <w:szCs w:val="32"/>
        </w:rPr>
        <w:t>2</w:t>
      </w:r>
      <w:r>
        <w:rPr>
          <w:rFonts w:eastAsia="仿宋_GB2312"/>
          <w:spacing w:val="-6"/>
          <w:sz w:val="32"/>
          <w:szCs w:val="32"/>
        </w:rPr>
        <w:t>家，知识产权保护社会满意度达</w:t>
      </w:r>
      <w:r>
        <w:rPr>
          <w:rFonts w:eastAsia="仿宋_GB2312"/>
          <w:spacing w:val="-6"/>
          <w:sz w:val="32"/>
          <w:szCs w:val="32"/>
        </w:rPr>
        <w:t>90</w:t>
      </w:r>
      <w:r>
        <w:rPr>
          <w:rFonts w:eastAsia="仿宋_GB2312"/>
          <w:spacing w:val="-6"/>
          <w:sz w:val="32"/>
          <w:szCs w:val="32"/>
        </w:rPr>
        <w:t>分以上。</w:t>
      </w:r>
    </w:p>
    <w:p w:rsidR="00B37599" w:rsidRDefault="00955C08" w:rsidP="00351CAF">
      <w:pPr>
        <w:pStyle w:val="a4"/>
        <w:widowControl w:val="0"/>
        <w:overflowPunct w:val="0"/>
        <w:spacing w:after="0" w:line="576" w:lineRule="exact"/>
        <w:ind w:firstLine="640"/>
        <w:jc w:val="both"/>
        <w:rPr>
          <w:rFonts w:ascii="Times New Roman" w:eastAsia="仿宋_GB2312" w:hAnsi="Times New Roman"/>
          <w:szCs w:val="32"/>
        </w:rPr>
      </w:pPr>
      <w:r>
        <w:rPr>
          <w:rFonts w:ascii="Times New Roman" w:eastAsia="仿宋_GB2312" w:hAnsi="Times New Roman"/>
          <w:szCs w:val="32"/>
        </w:rPr>
        <w:t>——</w:t>
      </w:r>
      <w:r>
        <w:rPr>
          <w:rFonts w:ascii="楷体_GB2312" w:eastAsia="楷体_GB2312" w:hAnsi="楷体_GB2312" w:cs="楷体_GB2312"/>
          <w:szCs w:val="32"/>
        </w:rPr>
        <w:t>知识产权运用效益更加凸显。</w:t>
      </w:r>
      <w:r>
        <w:rPr>
          <w:rFonts w:ascii="Times New Roman" w:eastAsia="仿宋_GB2312" w:hAnsi="Times New Roman"/>
          <w:szCs w:val="32"/>
        </w:rPr>
        <w:t>专利密集型产业增加值占</w:t>
      </w:r>
      <w:r>
        <w:rPr>
          <w:rFonts w:ascii="Times New Roman" w:eastAsia="仿宋_GB2312" w:hAnsi="Times New Roman"/>
          <w:szCs w:val="32"/>
        </w:rPr>
        <w:t>GDP</w:t>
      </w:r>
      <w:r>
        <w:rPr>
          <w:rFonts w:ascii="Times New Roman" w:eastAsia="仿宋_GB2312" w:hAnsi="Times New Roman"/>
          <w:szCs w:val="32"/>
        </w:rPr>
        <w:t>比重达</w:t>
      </w:r>
      <w:r>
        <w:rPr>
          <w:rFonts w:ascii="Times New Roman" w:eastAsia="仿宋_GB2312" w:hAnsi="Times New Roman"/>
          <w:szCs w:val="32"/>
        </w:rPr>
        <w:t>19%</w:t>
      </w:r>
      <w:r>
        <w:rPr>
          <w:rFonts w:ascii="Times New Roman" w:eastAsia="仿宋_GB2312" w:hAnsi="Times New Roman"/>
          <w:szCs w:val="32"/>
        </w:rPr>
        <w:t>，版权产业增加值占</w:t>
      </w:r>
      <w:r>
        <w:rPr>
          <w:rFonts w:ascii="Times New Roman" w:eastAsia="仿宋_GB2312" w:hAnsi="Times New Roman"/>
          <w:szCs w:val="32"/>
        </w:rPr>
        <w:t>GDP</w:t>
      </w:r>
      <w:r>
        <w:rPr>
          <w:rFonts w:ascii="Times New Roman" w:eastAsia="仿宋_GB2312" w:hAnsi="Times New Roman"/>
          <w:szCs w:val="32"/>
        </w:rPr>
        <w:t>比重达</w:t>
      </w:r>
      <w:r>
        <w:rPr>
          <w:rFonts w:ascii="Times New Roman" w:eastAsia="仿宋_GB2312" w:hAnsi="Times New Roman"/>
          <w:szCs w:val="32"/>
        </w:rPr>
        <w:t>8.6%</w:t>
      </w:r>
      <w:r>
        <w:rPr>
          <w:rFonts w:ascii="Times New Roman" w:eastAsia="仿宋_GB2312" w:hAnsi="Times New Roman"/>
          <w:szCs w:val="32"/>
        </w:rPr>
        <w:t>。持续推进地理标志促进工程，提升地理标志品牌影响力和产品附</w:t>
      </w:r>
      <w:r>
        <w:rPr>
          <w:rFonts w:ascii="Times New Roman" w:eastAsia="仿宋_GB2312" w:hAnsi="Times New Roman"/>
          <w:szCs w:val="32"/>
        </w:rPr>
        <w:lastRenderedPageBreak/>
        <w:t>加值，年度地理标志产品销售额不低于</w:t>
      </w:r>
      <w:r>
        <w:rPr>
          <w:rFonts w:ascii="Times New Roman" w:eastAsia="仿宋_GB2312" w:hAnsi="Times New Roman"/>
          <w:szCs w:val="32"/>
        </w:rPr>
        <w:t>10</w:t>
      </w:r>
      <w:r>
        <w:rPr>
          <w:rFonts w:ascii="Times New Roman" w:eastAsia="仿宋_GB2312" w:hAnsi="Times New Roman"/>
          <w:szCs w:val="32"/>
        </w:rPr>
        <w:t>亿元。建立知识产权综合运营服务平台，知识产权质押金额累计超</w:t>
      </w:r>
      <w:r>
        <w:rPr>
          <w:rFonts w:ascii="Times New Roman" w:eastAsia="仿宋_GB2312" w:hAnsi="Times New Roman"/>
          <w:szCs w:val="32"/>
        </w:rPr>
        <w:t>30</w:t>
      </w:r>
      <w:r>
        <w:rPr>
          <w:rFonts w:ascii="Times New Roman" w:eastAsia="仿宋_GB2312" w:hAnsi="Times New Roman"/>
          <w:szCs w:val="32"/>
        </w:rPr>
        <w:t>亿元，新增贯标企业</w:t>
      </w:r>
      <w:r>
        <w:rPr>
          <w:rFonts w:ascii="Times New Roman" w:eastAsia="仿宋_GB2312" w:hAnsi="Times New Roman"/>
          <w:szCs w:val="32"/>
        </w:rPr>
        <w:t>120</w:t>
      </w:r>
      <w:r>
        <w:rPr>
          <w:rFonts w:ascii="Times New Roman" w:eastAsia="仿宋_GB2312" w:hAnsi="Times New Roman"/>
          <w:szCs w:val="32"/>
        </w:rPr>
        <w:t>家以上，各级知识产权优势示范企业达</w:t>
      </w:r>
      <w:r>
        <w:rPr>
          <w:rFonts w:ascii="Times New Roman" w:eastAsia="仿宋_GB2312" w:hAnsi="Times New Roman"/>
          <w:szCs w:val="32"/>
        </w:rPr>
        <w:t>15</w:t>
      </w:r>
      <w:r>
        <w:rPr>
          <w:rFonts w:ascii="Times New Roman" w:eastAsia="仿宋_GB2312" w:hAnsi="Times New Roman"/>
          <w:szCs w:val="32"/>
        </w:rPr>
        <w:t>家。</w:t>
      </w:r>
    </w:p>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w:t>
      </w:r>
      <w:r>
        <w:rPr>
          <w:rFonts w:ascii="楷体_GB2312" w:eastAsia="楷体_GB2312" w:hAnsi="楷体_GB2312" w:cs="楷体_GB2312"/>
          <w:szCs w:val="32"/>
        </w:rPr>
        <w:t>知识产权服务品质卓越。</w:t>
      </w:r>
      <w:r>
        <w:rPr>
          <w:rFonts w:eastAsia="仿宋_GB2312"/>
          <w:szCs w:val="32"/>
        </w:rPr>
        <w:t>建成多元参与、互联互享的知识产</w:t>
      </w:r>
      <w:r>
        <w:rPr>
          <w:rFonts w:eastAsia="仿宋_GB2312"/>
          <w:szCs w:val="32"/>
        </w:rPr>
        <w:t>权公共服务体系，实现知识产权线上</w:t>
      </w:r>
      <w:r>
        <w:rPr>
          <w:rFonts w:eastAsia="仿宋_GB2312"/>
          <w:szCs w:val="32"/>
        </w:rPr>
        <w:t>“</w:t>
      </w:r>
      <w:r>
        <w:rPr>
          <w:rFonts w:eastAsia="仿宋_GB2312"/>
          <w:szCs w:val="32"/>
        </w:rPr>
        <w:t>一网通办</w:t>
      </w:r>
      <w:r>
        <w:rPr>
          <w:rFonts w:eastAsia="仿宋_GB2312"/>
          <w:szCs w:val="32"/>
        </w:rPr>
        <w:t>”</w:t>
      </w:r>
      <w:r>
        <w:rPr>
          <w:rFonts w:eastAsia="仿宋_GB2312"/>
          <w:szCs w:val="32"/>
        </w:rPr>
        <w:t>线下</w:t>
      </w:r>
      <w:r>
        <w:rPr>
          <w:rFonts w:eastAsia="仿宋_GB2312"/>
          <w:szCs w:val="32"/>
        </w:rPr>
        <w:t>“</w:t>
      </w:r>
      <w:r>
        <w:rPr>
          <w:rFonts w:eastAsia="仿宋_GB2312"/>
          <w:szCs w:val="32"/>
        </w:rPr>
        <w:t>一窗通办</w:t>
      </w:r>
      <w:r>
        <w:rPr>
          <w:rFonts w:eastAsia="仿宋_GB2312"/>
          <w:szCs w:val="32"/>
        </w:rPr>
        <w:t>”</w:t>
      </w:r>
      <w:r>
        <w:rPr>
          <w:rFonts w:eastAsia="仿宋_GB2312"/>
          <w:szCs w:val="32"/>
        </w:rPr>
        <w:t>的</w:t>
      </w:r>
      <w:r>
        <w:rPr>
          <w:rFonts w:eastAsia="仿宋_GB2312"/>
          <w:szCs w:val="32"/>
        </w:rPr>
        <w:t>“</w:t>
      </w:r>
      <w:r>
        <w:rPr>
          <w:rFonts w:eastAsia="仿宋_GB2312"/>
          <w:szCs w:val="32"/>
        </w:rPr>
        <w:t>一站式</w:t>
      </w:r>
      <w:r>
        <w:rPr>
          <w:rFonts w:eastAsia="仿宋_GB2312"/>
          <w:szCs w:val="32"/>
        </w:rPr>
        <w:t>”</w:t>
      </w:r>
      <w:r>
        <w:rPr>
          <w:rFonts w:eastAsia="仿宋_GB2312"/>
          <w:szCs w:val="32"/>
        </w:rPr>
        <w:t>保护综合服务体，建成知识产权服务业集聚区，新增</w:t>
      </w:r>
      <w:r>
        <w:rPr>
          <w:rFonts w:eastAsia="仿宋_GB2312"/>
          <w:kern w:val="2"/>
          <w:szCs w:val="32"/>
        </w:rPr>
        <w:t>知识产权工作站（商标品牌指导站）</w:t>
      </w:r>
      <w:r>
        <w:rPr>
          <w:rFonts w:eastAsia="仿宋_GB2312"/>
          <w:szCs w:val="32"/>
        </w:rPr>
        <w:t>10</w:t>
      </w:r>
      <w:r>
        <w:rPr>
          <w:rFonts w:eastAsia="仿宋_GB2312"/>
          <w:szCs w:val="32"/>
        </w:rPr>
        <w:t>家，新增国家级知识产权研究与服务机构</w:t>
      </w:r>
      <w:r>
        <w:rPr>
          <w:rFonts w:eastAsia="仿宋_GB2312"/>
          <w:szCs w:val="32"/>
        </w:rPr>
        <w:t>2</w:t>
      </w:r>
      <w:r>
        <w:rPr>
          <w:rFonts w:eastAsia="仿宋_GB2312"/>
          <w:szCs w:val="32"/>
        </w:rPr>
        <w:t>家，累计知识产权服务机构超</w:t>
      </w:r>
      <w:r>
        <w:rPr>
          <w:rFonts w:eastAsia="仿宋_GB2312"/>
          <w:szCs w:val="32"/>
        </w:rPr>
        <w:t>10</w:t>
      </w:r>
      <w:r>
        <w:rPr>
          <w:rFonts w:eastAsia="仿宋_GB2312"/>
          <w:szCs w:val="32"/>
        </w:rPr>
        <w:t>家，知识产权服务从业人数超</w:t>
      </w:r>
      <w:r>
        <w:rPr>
          <w:rFonts w:eastAsia="仿宋_GB2312"/>
          <w:szCs w:val="32"/>
        </w:rPr>
        <w:t>300</w:t>
      </w:r>
      <w:r>
        <w:rPr>
          <w:rFonts w:eastAsia="仿宋_GB2312"/>
          <w:szCs w:val="32"/>
        </w:rPr>
        <w:t>人，知识产权服务机构主营业务收入超</w:t>
      </w:r>
      <w:r>
        <w:rPr>
          <w:rFonts w:eastAsia="仿宋_GB2312"/>
          <w:szCs w:val="32"/>
        </w:rPr>
        <w:t>5000</w:t>
      </w:r>
      <w:r>
        <w:rPr>
          <w:rFonts w:eastAsia="仿宋_GB2312"/>
          <w:szCs w:val="32"/>
        </w:rPr>
        <w:t>万元。</w:t>
      </w:r>
    </w:p>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w:t>
      </w:r>
      <w:r>
        <w:rPr>
          <w:rFonts w:ascii="楷体_GB2312" w:eastAsia="楷体_GB2312" w:hAnsi="楷体_GB2312" w:cs="楷体_GB2312"/>
          <w:szCs w:val="32"/>
        </w:rPr>
        <w:t>知识产权人才更有活力。</w:t>
      </w:r>
      <w:r>
        <w:rPr>
          <w:rFonts w:eastAsia="仿宋_GB2312"/>
          <w:szCs w:val="32"/>
        </w:rPr>
        <w:t>建立知识产权技术调查官制度，成立市知识产权专家库，推进中小学知识产权教育，健全知识产权人才成长梯队。新增知识产权专家库成员</w:t>
      </w:r>
      <w:r>
        <w:rPr>
          <w:rFonts w:eastAsia="仿宋_GB2312"/>
          <w:szCs w:val="32"/>
        </w:rPr>
        <w:t>20</w:t>
      </w:r>
      <w:r>
        <w:rPr>
          <w:rFonts w:eastAsia="仿宋_GB2312"/>
          <w:szCs w:val="32"/>
        </w:rPr>
        <w:t>人、技术调查官</w:t>
      </w:r>
      <w:r>
        <w:rPr>
          <w:rFonts w:eastAsia="仿宋_GB2312"/>
          <w:szCs w:val="32"/>
        </w:rPr>
        <w:t>10</w:t>
      </w:r>
      <w:r>
        <w:rPr>
          <w:rFonts w:eastAsia="仿宋_GB2312"/>
          <w:szCs w:val="32"/>
        </w:rPr>
        <w:t>人，累计培训知识产权各类人才</w:t>
      </w:r>
      <w:r>
        <w:rPr>
          <w:rFonts w:eastAsia="仿宋_GB2312"/>
          <w:szCs w:val="32"/>
        </w:rPr>
        <w:t>1000</w:t>
      </w:r>
      <w:r>
        <w:rPr>
          <w:rFonts w:eastAsia="仿宋_GB2312"/>
          <w:szCs w:val="32"/>
        </w:rPr>
        <w:t>人</w:t>
      </w:r>
      <w:r>
        <w:rPr>
          <w:rFonts w:eastAsia="仿宋_GB2312"/>
          <w:szCs w:val="32"/>
        </w:rPr>
        <w:t>次。</w:t>
      </w:r>
    </w:p>
    <w:p w:rsidR="00B37599" w:rsidRDefault="00955C08" w:rsidP="00351CAF">
      <w:pPr>
        <w:pStyle w:val="ab"/>
        <w:widowControl w:val="0"/>
        <w:numPr>
          <w:ilvl w:val="0"/>
          <w:numId w:val="1"/>
        </w:numPr>
        <w:overflowPunct w:val="0"/>
        <w:spacing w:beforeAutospacing="0" w:after="0" w:afterAutospacing="0" w:line="576" w:lineRule="exact"/>
        <w:ind w:firstLine="640"/>
        <w:jc w:val="both"/>
        <w:rPr>
          <w:rFonts w:ascii="黑体" w:eastAsia="黑体" w:hAnsi="黑体" w:cs="黑体"/>
          <w:kern w:val="2"/>
          <w:sz w:val="32"/>
          <w:szCs w:val="32"/>
        </w:rPr>
      </w:pPr>
      <w:r>
        <w:rPr>
          <w:rFonts w:ascii="黑体" w:eastAsia="黑体" w:hAnsi="黑体" w:cs="黑体"/>
          <w:kern w:val="2"/>
          <w:sz w:val="32"/>
          <w:szCs w:val="32"/>
        </w:rPr>
        <w:t>重点任务</w:t>
      </w:r>
    </w:p>
    <w:p w:rsidR="00B37599" w:rsidRDefault="00955C08" w:rsidP="00351CAF">
      <w:pPr>
        <w:pStyle w:val="ab"/>
        <w:widowControl w:val="0"/>
        <w:overflowPunct w:val="0"/>
        <w:spacing w:beforeAutospacing="0" w:after="0" w:afterAutospacing="0" w:line="576" w:lineRule="exact"/>
        <w:ind w:leftChars="200" w:left="640" w:firstLineChars="0" w:firstLine="0"/>
        <w:jc w:val="both"/>
        <w:rPr>
          <w:rFonts w:ascii="楷体_GB2312" w:eastAsia="楷体_GB2312" w:hAnsi="楷体_GB2312" w:cs="楷体_GB2312"/>
          <w:sz w:val="32"/>
          <w:szCs w:val="32"/>
        </w:rPr>
      </w:pPr>
      <w:r>
        <w:rPr>
          <w:rFonts w:ascii="楷体_GB2312" w:eastAsia="楷体_GB2312" w:hAnsi="楷体_GB2312" w:cs="楷体_GB2312"/>
          <w:sz w:val="32"/>
          <w:szCs w:val="32"/>
        </w:rPr>
        <w:t>（一）加强知识产权高水平管理，助力治理能力现代化</w:t>
      </w:r>
    </w:p>
    <w:p w:rsidR="00B37599" w:rsidRDefault="00955C08" w:rsidP="00351CAF">
      <w:pPr>
        <w:pStyle w:val="ab"/>
        <w:widowControl w:val="0"/>
        <w:overflowPunct w:val="0"/>
        <w:spacing w:beforeAutospacing="0" w:after="0" w:afterAutospacing="0" w:line="576" w:lineRule="exact"/>
        <w:ind w:firstLine="640"/>
        <w:jc w:val="both"/>
        <w:rPr>
          <w:rFonts w:eastAsia="仿宋_GB2312"/>
          <w:sz w:val="32"/>
          <w:szCs w:val="32"/>
        </w:rPr>
      </w:pPr>
      <w:r>
        <w:rPr>
          <w:rFonts w:eastAsia="仿宋_GB2312"/>
          <w:sz w:val="32"/>
          <w:szCs w:val="32"/>
        </w:rPr>
        <w:t>1</w:t>
      </w:r>
      <w:r>
        <w:rPr>
          <w:rFonts w:eastAsia="仿宋_GB2312"/>
          <w:sz w:val="32"/>
          <w:szCs w:val="32"/>
        </w:rPr>
        <w:t>、健全高效运行的知识产权管理体系。</w:t>
      </w:r>
      <w:r>
        <w:rPr>
          <w:rFonts w:eastAsia="仿宋_GB2312"/>
          <w:sz w:val="32"/>
          <w:szCs w:val="32"/>
        </w:rPr>
        <w:t>深入推进知识产权体制机制改革和</w:t>
      </w:r>
      <w:r>
        <w:rPr>
          <w:rFonts w:eastAsia="仿宋_GB2312"/>
          <w:sz w:val="32"/>
          <w:szCs w:val="32"/>
        </w:rPr>
        <w:t>“</w:t>
      </w:r>
      <w:r>
        <w:rPr>
          <w:rFonts w:eastAsia="仿宋_GB2312"/>
          <w:sz w:val="32"/>
          <w:szCs w:val="32"/>
        </w:rPr>
        <w:t>放管服</w:t>
      </w:r>
      <w:r>
        <w:rPr>
          <w:rFonts w:eastAsia="仿宋_GB2312"/>
          <w:sz w:val="32"/>
          <w:szCs w:val="32"/>
        </w:rPr>
        <w:t>”</w:t>
      </w:r>
      <w:r>
        <w:rPr>
          <w:rFonts w:eastAsia="仿宋_GB2312"/>
          <w:sz w:val="32"/>
          <w:szCs w:val="32"/>
        </w:rPr>
        <w:t>改革，推进全市知识产权治理体系和治理能力现代化。推动镇（园区、街道）设立知识产权工作站（商标品牌指导站）；科学设定对镇（园区、街道）的知识产权考核指标。</w:t>
      </w:r>
      <w:r>
        <w:rPr>
          <w:rFonts w:eastAsia="仿宋_GB2312"/>
          <w:bCs/>
          <w:sz w:val="32"/>
          <w:szCs w:val="32"/>
        </w:rPr>
        <w:t>完善和修订知识产权政策，出台市级知识产权战略推进项目，指导</w:t>
      </w:r>
      <w:r>
        <w:rPr>
          <w:rFonts w:eastAsia="仿宋_GB2312"/>
          <w:sz w:val="32"/>
          <w:szCs w:val="32"/>
        </w:rPr>
        <w:t>镇（园区、街道）</w:t>
      </w:r>
      <w:r>
        <w:rPr>
          <w:rFonts w:eastAsia="仿宋_GB2312"/>
          <w:bCs/>
          <w:sz w:val="32"/>
          <w:szCs w:val="32"/>
        </w:rPr>
        <w:t>出台知识产权政策。</w:t>
      </w:r>
      <w:r>
        <w:rPr>
          <w:rFonts w:eastAsia="仿宋_GB2312"/>
          <w:sz w:val="32"/>
          <w:szCs w:val="32"/>
        </w:rPr>
        <w:t>落实重大项目知识产权评议制度，发布重点领域知识产权评议报告。</w:t>
      </w:r>
      <w:r>
        <w:rPr>
          <w:rFonts w:eastAsia="仿宋_GB2312"/>
          <w:sz w:val="32"/>
          <w:szCs w:val="32"/>
        </w:rPr>
        <w:lastRenderedPageBreak/>
        <w:t>〔责任单位：市知识产权战略实施工作领导小组办公室牵头，市知识产权战略实施工作领导小组其他成员单位，各镇（园区、街道）按职责分工负责〕</w:t>
      </w:r>
    </w:p>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2</w:t>
      </w:r>
      <w:r>
        <w:rPr>
          <w:rFonts w:eastAsia="仿宋_GB2312"/>
          <w:szCs w:val="32"/>
        </w:rPr>
        <w:t>、打造知识产权试点示范。</w:t>
      </w:r>
      <w:r>
        <w:rPr>
          <w:rFonts w:eastAsia="仿宋_GB2312"/>
          <w:szCs w:val="32"/>
        </w:rPr>
        <w:t>按照《国家知识产权强县工程试点、示范县（区）评定管理办法》，打造国家知识产权强县建设示范县。</w:t>
      </w:r>
      <w:r>
        <w:rPr>
          <w:rFonts w:eastAsia="仿宋_GB2312"/>
          <w:bCs/>
          <w:szCs w:val="32"/>
        </w:rPr>
        <w:t>根据《关于强化知识产权保护的</w:t>
      </w:r>
      <w:r>
        <w:rPr>
          <w:rFonts w:eastAsia="仿宋_GB2312"/>
          <w:kern w:val="2"/>
          <w:szCs w:val="32"/>
        </w:rPr>
        <w:t>意</w:t>
      </w:r>
      <w:r>
        <w:rPr>
          <w:rFonts w:eastAsia="仿宋_GB2312"/>
          <w:bCs/>
          <w:szCs w:val="32"/>
        </w:rPr>
        <w:t>见》，建成江苏省知识产权保护示范区。推进园区知识产权行政管理体制改革，支持重大知识产权载体、成果、高端人才、优质服务等资源落户园区，建成省级知识产权示范园区、争创国家知识</w:t>
      </w:r>
      <w:r>
        <w:rPr>
          <w:rFonts w:eastAsia="仿宋_GB2312"/>
          <w:bCs/>
          <w:szCs w:val="32"/>
        </w:rPr>
        <w:t>产权示范园区。</w:t>
      </w:r>
      <w:bookmarkStart w:id="3" w:name="_Toc296655358"/>
      <w:bookmarkStart w:id="4" w:name="_Toc9642"/>
      <w:r>
        <w:rPr>
          <w:rFonts w:eastAsia="仿宋_GB2312"/>
          <w:szCs w:val="32"/>
        </w:rPr>
        <w:t>〔责任单位：市知识产权战略实施工作领导小组办公室牵头，市知识产权战略实施工作领导小组其他成员单位，各镇（园区、街道）按职责分工负责〕</w:t>
      </w:r>
    </w:p>
    <w:bookmarkEnd w:id="3"/>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3</w:t>
      </w:r>
      <w:r>
        <w:rPr>
          <w:rFonts w:eastAsia="仿宋_GB2312"/>
          <w:szCs w:val="32"/>
        </w:rPr>
        <w:t>、加强知识产权交流协作</w:t>
      </w:r>
      <w:bookmarkEnd w:id="4"/>
      <w:r>
        <w:rPr>
          <w:rFonts w:eastAsia="仿宋_GB2312"/>
          <w:szCs w:val="32"/>
        </w:rPr>
        <w:t>。</w:t>
      </w:r>
      <w:r>
        <w:rPr>
          <w:rFonts w:eastAsia="仿宋_GB2312"/>
          <w:szCs w:val="32"/>
        </w:rPr>
        <w:t>推动宜兴知识产权主动融入长三角一体化、锡宜一体化、太湖湾科创带发展等国家和区域重大战略，引导沪宁杭知识产权资源与宜兴产业融合，强化</w:t>
      </w:r>
      <w:r>
        <w:rPr>
          <w:rFonts w:eastAsia="仿宋_GB2312"/>
          <w:szCs w:val="32"/>
        </w:rPr>
        <w:t>“</w:t>
      </w:r>
      <w:r>
        <w:rPr>
          <w:rFonts w:eastAsia="仿宋_GB2312"/>
          <w:szCs w:val="32"/>
        </w:rPr>
        <w:t>一地六县</w:t>
      </w:r>
      <w:r>
        <w:rPr>
          <w:rFonts w:eastAsia="仿宋_GB2312"/>
          <w:szCs w:val="32"/>
        </w:rPr>
        <w:t>”</w:t>
      </w:r>
      <w:r>
        <w:rPr>
          <w:rFonts w:eastAsia="仿宋_GB2312"/>
          <w:szCs w:val="32"/>
        </w:rPr>
        <w:t>知识产权保护一体化合作模式。支持本土企业国（境）外知识产权布局，支持企业开展知识产权国际交流，鼓励和引导重点企业率先实施知识产权创新管理体系（</w:t>
      </w:r>
      <w:r>
        <w:rPr>
          <w:rFonts w:eastAsia="仿宋_GB2312"/>
          <w:szCs w:val="32"/>
        </w:rPr>
        <w:t>ISO56005</w:t>
      </w:r>
      <w:r>
        <w:rPr>
          <w:rFonts w:eastAsia="仿宋_GB2312"/>
          <w:szCs w:val="32"/>
        </w:rPr>
        <w:t>）。探索与世界知识产权组织开展合作，争</w:t>
      </w:r>
      <w:r>
        <w:rPr>
          <w:rFonts w:eastAsia="仿宋_GB2312"/>
          <w:szCs w:val="32"/>
        </w:rPr>
        <w:t>取在宜兴设立技术与创新支持中心（</w:t>
      </w:r>
      <w:r>
        <w:rPr>
          <w:rFonts w:eastAsia="仿宋_GB2312"/>
          <w:szCs w:val="32"/>
        </w:rPr>
        <w:t>TISC</w:t>
      </w:r>
      <w:r>
        <w:rPr>
          <w:rFonts w:eastAsia="仿宋_GB2312"/>
          <w:szCs w:val="32"/>
        </w:rPr>
        <w:t>）。〔责任单位：市知识产权战略实施工作领导小组办公室牵头，市知识产权战略实施工作领导小组其他成员单位，各镇（园区、街道）按职责分工负责〕</w:t>
      </w:r>
    </w:p>
    <w:p w:rsidR="00B37599" w:rsidRDefault="00955C08" w:rsidP="00351CAF">
      <w:pPr>
        <w:widowControl w:val="0"/>
        <w:overflowPunct w:val="0"/>
        <w:spacing w:after="0" w:line="576" w:lineRule="exact"/>
        <w:ind w:firstLine="640"/>
        <w:rPr>
          <w:rFonts w:ascii="楷体_GB2312" w:eastAsia="楷体_GB2312" w:hAnsi="楷体_GB2312" w:cs="楷体_GB2312"/>
          <w:szCs w:val="32"/>
        </w:rPr>
      </w:pPr>
      <w:r>
        <w:rPr>
          <w:rFonts w:ascii="楷体_GB2312" w:eastAsia="楷体_GB2312" w:hAnsi="楷体_GB2312" w:cs="楷体_GB2312"/>
          <w:szCs w:val="32"/>
        </w:rPr>
        <w:t>（二）持续强化高质量创造，</w:t>
      </w:r>
      <w:bookmarkStart w:id="5" w:name="_Toc69825093"/>
      <w:bookmarkStart w:id="6" w:name="_Toc69824859"/>
      <w:r>
        <w:rPr>
          <w:rFonts w:ascii="楷体_GB2312" w:eastAsia="楷体_GB2312" w:hAnsi="楷体_GB2312" w:cs="楷体_GB2312"/>
          <w:szCs w:val="32"/>
        </w:rPr>
        <w:t>切实提升产业核心竞争力</w:t>
      </w:r>
    </w:p>
    <w:bookmarkEnd w:id="5"/>
    <w:bookmarkEnd w:id="6"/>
    <w:p w:rsidR="00B37599" w:rsidRDefault="00955C08" w:rsidP="00351CAF">
      <w:pPr>
        <w:widowControl w:val="0"/>
        <w:overflowPunct w:val="0"/>
        <w:spacing w:after="0" w:line="576" w:lineRule="exact"/>
        <w:ind w:firstLine="640"/>
        <w:rPr>
          <w:rFonts w:eastAsia="仿宋_GB2312"/>
          <w:szCs w:val="32"/>
        </w:rPr>
      </w:pPr>
      <w:r>
        <w:rPr>
          <w:rFonts w:eastAsia="仿宋_GB2312"/>
          <w:szCs w:val="32"/>
        </w:rPr>
        <w:lastRenderedPageBreak/>
        <w:t>4</w:t>
      </w:r>
      <w:r>
        <w:rPr>
          <w:rFonts w:eastAsia="仿宋_GB2312"/>
          <w:szCs w:val="32"/>
        </w:rPr>
        <w:t>、加强高质量知识产权创造。</w:t>
      </w:r>
      <w:r>
        <w:rPr>
          <w:rFonts w:eastAsia="仿宋_GB2312"/>
          <w:szCs w:val="32"/>
        </w:rPr>
        <w:t>聚焦全市战略性新兴产业、优势产业及未来产业强化知识产权布局，围绕</w:t>
      </w:r>
      <w:r>
        <w:rPr>
          <w:rFonts w:eastAsia="仿宋_GB2312"/>
          <w:szCs w:val="32"/>
        </w:rPr>
        <w:t>“3+3+N”</w:t>
      </w:r>
      <w:r>
        <w:rPr>
          <w:rFonts w:eastAsia="仿宋_GB2312"/>
          <w:szCs w:val="32"/>
        </w:rPr>
        <w:t>现代产业集群，突出高质量知识产权创新，集聚一批高端知识产权发展要素，实现关键核心技术的自主可控。</w:t>
      </w:r>
      <w:bookmarkStart w:id="7" w:name="_Toc69825094"/>
      <w:bookmarkStart w:id="8" w:name="_Toc69824860"/>
      <w:r>
        <w:rPr>
          <w:rFonts w:eastAsia="仿宋_GB2312"/>
          <w:szCs w:val="32"/>
        </w:rPr>
        <w:t>构建以万人高价值发明专利拥有量等为主要指标的知识产权发展考核指标体系，加大知识产权</w:t>
      </w:r>
      <w:r>
        <w:rPr>
          <w:rFonts w:eastAsia="仿宋_GB2312"/>
          <w:szCs w:val="32"/>
        </w:rPr>
        <w:t>质量和转化运用绩效权重。建立健全专利质量监管机制，加强专利质量管控。〔责任单位：市科技局牵头，市知识产权战略实施工作领导小组其他成员单位，各镇（园区、街道）按职责分工负责〕</w:t>
      </w:r>
    </w:p>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5</w:t>
      </w:r>
      <w:r>
        <w:rPr>
          <w:rFonts w:eastAsia="仿宋_GB2312"/>
          <w:szCs w:val="32"/>
        </w:rPr>
        <w:t>、深入实施高价值专利培育</w:t>
      </w:r>
      <w:bookmarkEnd w:id="7"/>
      <w:bookmarkEnd w:id="8"/>
      <w:r>
        <w:rPr>
          <w:rFonts w:eastAsia="仿宋_GB2312"/>
          <w:szCs w:val="32"/>
        </w:rPr>
        <w:t>工程。</w:t>
      </w:r>
      <w:r>
        <w:rPr>
          <w:rFonts w:eastAsia="仿宋_GB2312"/>
          <w:szCs w:val="32"/>
        </w:rPr>
        <w:t>实施高价值专利培育提升工程，实施市级高价值专利培育项目，支持企业与高校（科研院所）、知识产权服务机构深度协作，组建高价值专利培育示范中心，培育一批高价值专利和专利组合。支持各类经营主体在海外申请高价值发明专利，建设宜兴市高价值专利培育与审核平台。到</w:t>
      </w:r>
      <w:r>
        <w:rPr>
          <w:rFonts w:eastAsia="仿宋_GB2312"/>
          <w:szCs w:val="32"/>
        </w:rPr>
        <w:t>2026</w:t>
      </w:r>
      <w:r>
        <w:rPr>
          <w:rFonts w:eastAsia="仿宋_GB2312"/>
          <w:szCs w:val="32"/>
        </w:rPr>
        <w:t>年，建成省级高价值专利培育中心不少于</w:t>
      </w:r>
      <w:r>
        <w:rPr>
          <w:rFonts w:eastAsia="仿宋_GB2312"/>
          <w:szCs w:val="32"/>
        </w:rPr>
        <w:t>1</w:t>
      </w:r>
      <w:r>
        <w:rPr>
          <w:rFonts w:eastAsia="仿宋_GB2312"/>
          <w:szCs w:val="32"/>
        </w:rPr>
        <w:t>家，建成市级</w:t>
      </w:r>
      <w:r>
        <w:rPr>
          <w:rFonts w:eastAsia="仿宋_GB2312"/>
          <w:szCs w:val="32"/>
        </w:rPr>
        <w:t>高价值专利培育中心不少于</w:t>
      </w:r>
      <w:r>
        <w:rPr>
          <w:rFonts w:eastAsia="仿宋_GB2312"/>
          <w:szCs w:val="32"/>
        </w:rPr>
        <w:t>2</w:t>
      </w:r>
      <w:r>
        <w:rPr>
          <w:rFonts w:eastAsia="仿宋_GB2312"/>
          <w:szCs w:val="32"/>
        </w:rPr>
        <w:t>家。〔责任单位：市市场监管局（知识产权局）牵头，市知识产权战略实施工作领导小组其他成员单位，各镇（园区、街道）按职责分工负责〕</w:t>
      </w:r>
    </w:p>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6</w:t>
      </w:r>
      <w:r>
        <w:rPr>
          <w:rFonts w:eastAsia="仿宋_GB2312"/>
          <w:szCs w:val="32"/>
        </w:rPr>
        <w:t>、实施商标品牌培育工程。</w:t>
      </w:r>
      <w:r>
        <w:rPr>
          <w:rFonts w:eastAsia="仿宋_GB2312"/>
          <w:szCs w:val="32"/>
        </w:rPr>
        <w:t>实施商标品牌战略，加大工业品牌培育，支持专精特新、单打冠军等科创型企业开展商标品牌布局；支持企业通过马德里商标注册、</w:t>
      </w:r>
      <w:r>
        <w:rPr>
          <w:rFonts w:eastAsia="仿宋_GB2312"/>
          <w:szCs w:val="32"/>
        </w:rPr>
        <w:t>“</w:t>
      </w:r>
      <w:r>
        <w:rPr>
          <w:rFonts w:eastAsia="仿宋_GB2312"/>
          <w:szCs w:val="32"/>
        </w:rPr>
        <w:t>一带一路</w:t>
      </w:r>
      <w:r>
        <w:rPr>
          <w:rFonts w:eastAsia="仿宋_GB2312"/>
          <w:szCs w:val="32"/>
        </w:rPr>
        <w:t>”</w:t>
      </w:r>
      <w:r>
        <w:rPr>
          <w:rFonts w:eastAsia="仿宋_GB2312"/>
          <w:szCs w:val="32"/>
        </w:rPr>
        <w:t>沿线国家商标注册开展海外布局，支持老字号品牌建设。实施地理标志促进工程，加大地理标志线上线下宣传推介，持续推进宜兴地</w:t>
      </w:r>
      <w:r>
        <w:rPr>
          <w:rFonts w:eastAsia="仿宋_GB2312"/>
          <w:szCs w:val="32"/>
        </w:rPr>
        <w:lastRenderedPageBreak/>
        <w:t>理标志中欧互认互保，争创国家地理标志保护示范区。〔责任单位：市发改委牵头，市知识产权战略</w:t>
      </w:r>
      <w:r>
        <w:rPr>
          <w:rFonts w:eastAsia="仿宋_GB2312"/>
          <w:szCs w:val="32"/>
        </w:rPr>
        <w:t>实施工作领导小组其他成员单位，各镇（园区、街道）按职责分工负责〕</w:t>
      </w:r>
    </w:p>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7</w:t>
      </w:r>
      <w:r>
        <w:rPr>
          <w:rFonts w:eastAsia="仿宋_GB2312"/>
          <w:szCs w:val="32"/>
        </w:rPr>
        <w:t>、加强植物新品种、版权等培育力度。</w:t>
      </w:r>
      <w:r>
        <w:rPr>
          <w:rFonts w:eastAsia="仿宋_GB2312"/>
          <w:szCs w:val="32"/>
        </w:rPr>
        <w:t>实施大米、百合、杨梅、茶叶等植物新品种培育，支持涉农企业与科研机构合作，选育农作物和林木新品种，提高授权品种质量。推进优秀版权作品产业化，引导各类作品及时登记，运用时间戳、区块链等技术实现快登快查，鼓励企业进行集成电路布图设计专有权登记。〔责任单位：市农业农村局牵头，市知识产权战略实施工作领导小组其他成员单位，各镇（园区、街道）按职责分工负责〕</w:t>
      </w:r>
    </w:p>
    <w:p w:rsidR="00B37599" w:rsidRDefault="00955C08" w:rsidP="00351CAF">
      <w:pPr>
        <w:widowControl w:val="0"/>
        <w:overflowPunct w:val="0"/>
        <w:spacing w:after="0" w:line="576" w:lineRule="exact"/>
        <w:ind w:firstLine="640"/>
        <w:rPr>
          <w:rFonts w:ascii="楷体_GB2312" w:eastAsia="楷体_GB2312" w:hAnsi="楷体_GB2312" w:cs="楷体_GB2312"/>
          <w:szCs w:val="32"/>
        </w:rPr>
      </w:pPr>
      <w:bookmarkStart w:id="9" w:name="_Toc69824862"/>
      <w:bookmarkStart w:id="10" w:name="_Toc69825096"/>
      <w:r>
        <w:rPr>
          <w:rFonts w:ascii="楷体_GB2312" w:eastAsia="楷体_GB2312" w:hAnsi="楷体_GB2312" w:cs="楷体_GB2312"/>
          <w:szCs w:val="32"/>
        </w:rPr>
        <w:t>（三）持续加强高标准保护，</w:t>
      </w:r>
      <w:bookmarkEnd w:id="9"/>
      <w:bookmarkEnd w:id="10"/>
      <w:r>
        <w:rPr>
          <w:rFonts w:ascii="楷体_GB2312" w:eastAsia="楷体_GB2312" w:hAnsi="楷体_GB2312" w:cs="楷体_GB2312"/>
          <w:szCs w:val="32"/>
        </w:rPr>
        <w:t>营造一流营商环境</w:t>
      </w:r>
    </w:p>
    <w:p w:rsidR="00B37599" w:rsidRDefault="00955C08" w:rsidP="00351CAF">
      <w:pPr>
        <w:widowControl w:val="0"/>
        <w:overflowPunct w:val="0"/>
        <w:spacing w:after="0" w:line="576" w:lineRule="exact"/>
        <w:ind w:firstLine="640"/>
        <w:outlineLvl w:val="2"/>
        <w:rPr>
          <w:rFonts w:eastAsia="仿宋_GB2312"/>
          <w:szCs w:val="32"/>
        </w:rPr>
      </w:pPr>
      <w:bookmarkStart w:id="11" w:name="_Toc69824867"/>
      <w:bookmarkStart w:id="12" w:name="_Toc69825099"/>
      <w:bookmarkStart w:id="13" w:name="_Toc69824864"/>
      <w:bookmarkStart w:id="14" w:name="_Toc69825098"/>
      <w:r>
        <w:rPr>
          <w:rFonts w:eastAsia="仿宋_GB2312"/>
          <w:szCs w:val="32"/>
        </w:rPr>
        <w:t>8</w:t>
      </w:r>
      <w:r>
        <w:rPr>
          <w:rFonts w:eastAsia="仿宋_GB2312"/>
          <w:szCs w:val="32"/>
        </w:rPr>
        <w:t>、健全知识产权保护机制。</w:t>
      </w:r>
      <w:r>
        <w:rPr>
          <w:rFonts w:eastAsia="仿宋_GB2312"/>
          <w:szCs w:val="32"/>
        </w:rPr>
        <w:t>成立省级知识产权保护示范区建设专项工作机制，优化知识产权案件</w:t>
      </w:r>
      <w:r>
        <w:rPr>
          <w:rFonts w:eastAsia="仿宋_GB2312"/>
          <w:szCs w:val="32"/>
        </w:rPr>
        <w:t>“</w:t>
      </w:r>
      <w:r>
        <w:rPr>
          <w:rFonts w:eastAsia="仿宋_GB2312"/>
          <w:szCs w:val="32"/>
        </w:rPr>
        <w:t>两法衔接</w:t>
      </w:r>
      <w:r>
        <w:rPr>
          <w:rFonts w:eastAsia="仿宋_GB2312"/>
          <w:szCs w:val="32"/>
        </w:rPr>
        <w:t>”</w:t>
      </w:r>
      <w:r>
        <w:rPr>
          <w:rFonts w:eastAsia="仿宋_GB2312"/>
          <w:szCs w:val="32"/>
        </w:rPr>
        <w:t>机制，建设多元化知识产权保护工作机制，建立市级知识产权保护专家咨询委员会、知识产权技术调查官、侵权鉴定专家团队，落实公职律师、法律顾问制度，建立执法信息报送统筹协调和共享机制，推进全域知识产权保护。〔责任单位：市市场监管局（知识产权局）牵头，市知识产权战略实施工作领导小组其他成员单位，各镇（园区、街道）按职责分工负责〕</w:t>
      </w:r>
    </w:p>
    <w:p w:rsidR="00B37599" w:rsidRDefault="00955C08" w:rsidP="00351CAF">
      <w:pPr>
        <w:widowControl w:val="0"/>
        <w:overflowPunct w:val="0"/>
        <w:spacing w:after="0" w:line="576" w:lineRule="exact"/>
        <w:ind w:firstLine="640"/>
        <w:outlineLvl w:val="2"/>
        <w:rPr>
          <w:rFonts w:eastAsia="仿宋_GB2312"/>
          <w:szCs w:val="32"/>
        </w:rPr>
      </w:pPr>
      <w:r>
        <w:rPr>
          <w:rFonts w:eastAsia="仿宋_GB2312"/>
          <w:szCs w:val="32"/>
        </w:rPr>
        <w:t>9</w:t>
      </w:r>
      <w:r>
        <w:rPr>
          <w:rFonts w:eastAsia="仿宋_GB2312"/>
          <w:szCs w:val="32"/>
        </w:rPr>
        <w:t>、加强知识产权保护载体建设。</w:t>
      </w:r>
      <w:r>
        <w:rPr>
          <w:rFonts w:eastAsia="仿宋_GB2312"/>
          <w:szCs w:val="32"/>
        </w:rPr>
        <w:t>建成国家级宜兴（陶瓷）知识产权快速维权中心、省知识产权保护中心</w:t>
      </w:r>
      <w:r>
        <w:rPr>
          <w:rFonts w:eastAsia="仿宋_GB2312"/>
          <w:szCs w:val="32"/>
        </w:rPr>
        <w:t>宜兴工作站、无锡知识产权保护中心宜兴分中心。推进宜兴知识产权保护平台</w:t>
      </w:r>
      <w:r>
        <w:rPr>
          <w:rFonts w:eastAsia="仿宋_GB2312"/>
          <w:szCs w:val="32"/>
        </w:rPr>
        <w:lastRenderedPageBreak/>
        <w:t>建设，对接省知识产权综合服务平台，聚合司法、行政知识产权保护职能，建设知识产权保护一站式服务平台。〔责任单位：市市场监管局（知识产权局）牵头，市知识产权战略实施工作领导小组其他成员单位，各镇（园区、街道）按职责分工负责〕</w:t>
      </w:r>
    </w:p>
    <w:bookmarkEnd w:id="11"/>
    <w:bookmarkEnd w:id="12"/>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10</w:t>
      </w:r>
      <w:bookmarkEnd w:id="13"/>
      <w:bookmarkEnd w:id="14"/>
      <w:r>
        <w:rPr>
          <w:rFonts w:eastAsia="仿宋_GB2312"/>
          <w:szCs w:val="32"/>
        </w:rPr>
        <w:t>、严格知识产权行政执法。</w:t>
      </w:r>
      <w:r>
        <w:rPr>
          <w:rFonts w:eastAsia="仿宋_GB2312"/>
          <w:szCs w:val="32"/>
        </w:rPr>
        <w:t>定期开展知识产权执法保护专项治理，实施</w:t>
      </w:r>
      <w:r>
        <w:rPr>
          <w:rFonts w:eastAsia="仿宋_GB2312"/>
          <w:szCs w:val="32"/>
        </w:rPr>
        <w:t>“</w:t>
      </w:r>
      <w:r>
        <w:rPr>
          <w:rFonts w:eastAsia="仿宋_GB2312"/>
          <w:szCs w:val="32"/>
        </w:rPr>
        <w:t>剑网</w:t>
      </w:r>
      <w:r>
        <w:rPr>
          <w:rFonts w:eastAsia="仿宋_GB2312"/>
          <w:szCs w:val="32"/>
        </w:rPr>
        <w:t>”“</w:t>
      </w:r>
      <w:r>
        <w:rPr>
          <w:rFonts w:eastAsia="仿宋_GB2312"/>
          <w:szCs w:val="32"/>
        </w:rPr>
        <w:t>昆仑</w:t>
      </w:r>
      <w:r>
        <w:rPr>
          <w:rFonts w:eastAsia="仿宋_GB2312"/>
          <w:szCs w:val="32"/>
        </w:rPr>
        <w:t>”“</w:t>
      </w:r>
      <w:r>
        <w:rPr>
          <w:rFonts w:eastAsia="仿宋_GB2312"/>
          <w:szCs w:val="32"/>
        </w:rPr>
        <w:t>霹雳</w:t>
      </w:r>
      <w:r>
        <w:rPr>
          <w:rFonts w:eastAsia="仿宋_GB2312"/>
          <w:szCs w:val="32"/>
        </w:rPr>
        <w:t>”“</w:t>
      </w:r>
      <w:r>
        <w:rPr>
          <w:rFonts w:eastAsia="仿宋_GB2312"/>
          <w:szCs w:val="32"/>
        </w:rPr>
        <w:t>龙腾</w:t>
      </w:r>
      <w:r>
        <w:rPr>
          <w:rFonts w:eastAsia="仿宋_GB2312"/>
          <w:szCs w:val="32"/>
        </w:rPr>
        <w:t>”</w:t>
      </w:r>
      <w:r>
        <w:rPr>
          <w:rFonts w:eastAsia="仿宋_GB2312"/>
          <w:szCs w:val="32"/>
        </w:rPr>
        <w:t>等知识产权专项整治行动，依法打击各类知识产权违法违规行为。健全以</w:t>
      </w:r>
      <w:r>
        <w:rPr>
          <w:rFonts w:eastAsia="仿宋_GB2312"/>
          <w:szCs w:val="32"/>
        </w:rPr>
        <w:t>“</w:t>
      </w:r>
      <w:r>
        <w:rPr>
          <w:rFonts w:eastAsia="仿宋_GB2312"/>
          <w:szCs w:val="32"/>
        </w:rPr>
        <w:t>双随机、一公开</w:t>
      </w:r>
      <w:r>
        <w:rPr>
          <w:rFonts w:eastAsia="仿宋_GB2312"/>
          <w:szCs w:val="32"/>
        </w:rPr>
        <w:t>”</w:t>
      </w:r>
      <w:r>
        <w:rPr>
          <w:rFonts w:eastAsia="仿宋_GB2312"/>
          <w:szCs w:val="32"/>
        </w:rPr>
        <w:t>监管为基本手段的新型监管机制，坚决查处群体</w:t>
      </w:r>
      <w:r>
        <w:rPr>
          <w:rFonts w:eastAsia="仿宋_GB2312"/>
          <w:szCs w:val="32"/>
        </w:rPr>
        <w:t>侵权、反复侵权、假冒专利及涉及专利的诈骗行为。</w:t>
      </w:r>
      <w:r>
        <w:rPr>
          <w:rFonts w:eastAsia="仿宋_GB2312"/>
          <w:bCs/>
          <w:szCs w:val="32"/>
        </w:rPr>
        <w:t>开展</w:t>
      </w:r>
      <w:r>
        <w:rPr>
          <w:rFonts w:eastAsia="仿宋_GB2312"/>
          <w:bCs/>
          <w:szCs w:val="32"/>
        </w:rPr>
        <w:t>“</w:t>
      </w:r>
      <w:r>
        <w:rPr>
          <w:rFonts w:eastAsia="仿宋_GB2312"/>
          <w:bCs/>
          <w:szCs w:val="32"/>
        </w:rPr>
        <w:t>蓝天</w:t>
      </w:r>
      <w:r>
        <w:rPr>
          <w:rFonts w:eastAsia="仿宋_GB2312"/>
          <w:bCs/>
          <w:szCs w:val="32"/>
        </w:rPr>
        <w:t>”</w:t>
      </w:r>
      <w:r>
        <w:rPr>
          <w:rFonts w:eastAsia="仿宋_GB2312"/>
          <w:bCs/>
          <w:szCs w:val="32"/>
        </w:rPr>
        <w:t>专项行动，严厉依法打击不以保护创新为目的的非正常专利申请和不以使用为目的的商标恶意注册行为。</w:t>
      </w:r>
      <w:r>
        <w:rPr>
          <w:rFonts w:eastAsia="仿宋_GB2312"/>
          <w:szCs w:val="32"/>
        </w:rPr>
        <w:t>建立知识产权侵权风险信息快速应对机制，精准打击知识产权侵权行为。〔责任单位：市市场监管局（知识产权局）、市公安局牵头，市知识产权战略实施工作领导小组其他成员单位，各镇（园区、街道）按职责分工负责〕</w:t>
      </w:r>
    </w:p>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11</w:t>
      </w:r>
      <w:r>
        <w:rPr>
          <w:rFonts w:eastAsia="仿宋_GB2312"/>
          <w:szCs w:val="32"/>
        </w:rPr>
        <w:t>、加强重点领域知识产权保护。</w:t>
      </w:r>
      <w:r>
        <w:rPr>
          <w:rFonts w:eastAsia="仿宋_GB2312"/>
          <w:bCs/>
          <w:szCs w:val="32"/>
        </w:rPr>
        <w:t>围绕重点产业，建立知识产权保护名录</w:t>
      </w:r>
      <w:r>
        <w:rPr>
          <w:rFonts w:eastAsia="仿宋_GB2312"/>
          <w:szCs w:val="32"/>
        </w:rPr>
        <w:t>。加强展会、电商等流通领域的知识产权保护，加大侵权假冒行为源头治理，强化对省市两级正版正货示范街区</w:t>
      </w:r>
      <w:r>
        <w:rPr>
          <w:rFonts w:eastAsia="仿宋_GB2312"/>
          <w:szCs w:val="32"/>
        </w:rPr>
        <w:t>、示范行业协会等执法监管。开展软件正版提质增效行动，鼓励场地授权和购买服务模式。加大植物新品种权保护力度，严厉打击侵犯植物新品种权和制售假冒伪劣种子行为。开展打击网络侵权盗版专项行动，加大线下源头追溯和打击力度。建立知识产权</w:t>
      </w:r>
      <w:r>
        <w:rPr>
          <w:rFonts w:eastAsia="仿宋_GB2312"/>
          <w:szCs w:val="32"/>
        </w:rPr>
        <w:t>“</w:t>
      </w:r>
      <w:r>
        <w:rPr>
          <w:rFonts w:eastAsia="仿宋_GB2312"/>
          <w:szCs w:val="32"/>
        </w:rPr>
        <w:t>智慧监管</w:t>
      </w:r>
      <w:r>
        <w:rPr>
          <w:rFonts w:eastAsia="仿宋_GB2312"/>
          <w:szCs w:val="32"/>
        </w:rPr>
        <w:t>”</w:t>
      </w:r>
      <w:r>
        <w:rPr>
          <w:rFonts w:eastAsia="仿宋_GB2312"/>
          <w:szCs w:val="32"/>
        </w:rPr>
        <w:t>体系，加强新技术和新产品、新模式和</w:t>
      </w:r>
      <w:r>
        <w:rPr>
          <w:rFonts w:eastAsia="仿宋_GB2312"/>
          <w:szCs w:val="32"/>
        </w:rPr>
        <w:lastRenderedPageBreak/>
        <w:t>新业态、新需求和新市场的知识产权保护。〔责任单位：市市场监管局（知识产权局）牵头，市知识产权战略实施工作领导小组其他成员单位，各镇（园区、街道）按职责分工负责〕</w:t>
      </w:r>
    </w:p>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12</w:t>
      </w:r>
      <w:r>
        <w:rPr>
          <w:rFonts w:eastAsia="仿宋_GB2312"/>
          <w:szCs w:val="32"/>
        </w:rPr>
        <w:t>、加强知识产权海外风险防护。</w:t>
      </w:r>
      <w:r>
        <w:rPr>
          <w:rFonts w:eastAsia="仿宋_GB2312"/>
          <w:szCs w:val="32"/>
        </w:rPr>
        <w:t>建立涉外知识产权风险监测预警与防控机制，制定重大</w:t>
      </w:r>
      <w:r>
        <w:rPr>
          <w:rFonts w:eastAsia="仿宋_GB2312"/>
          <w:szCs w:val="32"/>
        </w:rPr>
        <w:t>涉外知识产权纠纷、争端和突发事件应对预案，建立涉外企业数据库、海外维权专家团队，加强海外纠纷应对指导和维权援助。支持企业建立知识产权涉外风险防控体系。宣传知识产权海关保护工作，引导有需求的企业申请知识产权海关保护备案。〔责任单位：市商务局牵头，市知识产权战略实施工作领导小组其他成员单位，各镇（园区、街道）按职责分工负责〕</w:t>
      </w:r>
    </w:p>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13</w:t>
      </w:r>
      <w:r>
        <w:rPr>
          <w:rFonts w:eastAsia="仿宋_GB2312"/>
          <w:szCs w:val="32"/>
        </w:rPr>
        <w:t>、推进知识产权协同保护。</w:t>
      </w:r>
      <w:r>
        <w:rPr>
          <w:rFonts w:eastAsia="仿宋_GB2312"/>
          <w:szCs w:val="32"/>
        </w:rPr>
        <w:t>建设宜兴市知识产权维权援助中心</w:t>
      </w:r>
      <w:bookmarkStart w:id="15" w:name="_Toc27293"/>
      <w:r>
        <w:rPr>
          <w:rFonts w:eastAsia="仿宋_GB2312"/>
          <w:szCs w:val="32"/>
        </w:rPr>
        <w:t>，设立知识产权纠纷人民调解委员会，建立宜兴市知识产权消费者权益保护协会纠纷解决平台、中国专利保护协会纠纷调解平台，鼓励人民调解组织</w:t>
      </w:r>
      <w:r>
        <w:rPr>
          <w:rFonts w:eastAsia="仿宋_GB2312"/>
          <w:szCs w:val="32"/>
        </w:rPr>
        <w:t>、律所、商会等第三方开展知识产权纠纷调解，构建多元化纠纷解决机制，争创国家级专利侵权纠纷行政裁决规范化建设试点单位。实施经营主体信用分类监管，完善知识产权守法诚信褒奖机制和违法失信行为惩戒机制，加大对知识产权失信行为的曝光和制裁力度。</w:t>
      </w:r>
      <w:bookmarkEnd w:id="15"/>
      <w:r>
        <w:rPr>
          <w:rFonts w:eastAsia="仿宋_GB2312"/>
          <w:szCs w:val="32"/>
        </w:rPr>
        <w:t>持续引导商贸载体开展</w:t>
      </w:r>
      <w:r>
        <w:rPr>
          <w:rFonts w:eastAsia="仿宋_GB2312"/>
          <w:szCs w:val="32"/>
        </w:rPr>
        <w:t>“</w:t>
      </w:r>
      <w:r>
        <w:rPr>
          <w:rFonts w:eastAsia="仿宋_GB2312"/>
          <w:szCs w:val="32"/>
        </w:rPr>
        <w:t>正版正货</w:t>
      </w:r>
      <w:r>
        <w:rPr>
          <w:rFonts w:eastAsia="仿宋_GB2312"/>
          <w:szCs w:val="32"/>
        </w:rPr>
        <w:t>”</w:t>
      </w:r>
      <w:r>
        <w:rPr>
          <w:rFonts w:eastAsia="仿宋_GB2312"/>
          <w:szCs w:val="32"/>
        </w:rPr>
        <w:t>承诺推进计划，争创国家知识产权保护规范化市场。〔责任单位：市市场监管局（知识产权局）牵头，市知识产权战略实施工作领导小组其他成员单位，各镇（园区、街道）按职责分工负责〕</w:t>
      </w:r>
    </w:p>
    <w:p w:rsidR="00B37599" w:rsidRDefault="00955C08" w:rsidP="00351CAF">
      <w:pPr>
        <w:widowControl w:val="0"/>
        <w:overflowPunct w:val="0"/>
        <w:spacing w:after="0" w:line="576" w:lineRule="exact"/>
        <w:ind w:firstLine="640"/>
        <w:rPr>
          <w:rFonts w:ascii="楷体_GB2312" w:eastAsia="楷体_GB2312" w:hAnsi="楷体_GB2312" w:cs="楷体_GB2312"/>
          <w:szCs w:val="32"/>
        </w:rPr>
      </w:pPr>
      <w:bookmarkStart w:id="16" w:name="_Toc69825100"/>
      <w:bookmarkStart w:id="17" w:name="_Toc69824868"/>
      <w:r>
        <w:rPr>
          <w:rFonts w:ascii="楷体_GB2312" w:eastAsia="楷体_GB2312" w:hAnsi="楷体_GB2312" w:cs="楷体_GB2312"/>
          <w:szCs w:val="32"/>
        </w:rPr>
        <w:lastRenderedPageBreak/>
        <w:t>（四）加强知识产权高效益运用，</w:t>
      </w:r>
      <w:bookmarkEnd w:id="16"/>
      <w:bookmarkEnd w:id="17"/>
      <w:r>
        <w:rPr>
          <w:rFonts w:ascii="楷体_GB2312" w:eastAsia="楷体_GB2312" w:hAnsi="楷体_GB2312" w:cs="楷体_GB2312"/>
          <w:szCs w:val="32"/>
        </w:rPr>
        <w:t>增强创新驱动效能</w:t>
      </w:r>
    </w:p>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14</w:t>
      </w:r>
      <w:r>
        <w:rPr>
          <w:rFonts w:eastAsia="仿宋_GB2312"/>
          <w:szCs w:val="32"/>
        </w:rPr>
        <w:t>、推进知识产权转化运用。</w:t>
      </w:r>
      <w:r>
        <w:rPr>
          <w:rFonts w:eastAsia="仿宋_GB2312"/>
          <w:szCs w:val="32"/>
        </w:rPr>
        <w:t>深化产学研合作，新增</w:t>
      </w:r>
      <w:r>
        <w:rPr>
          <w:rFonts w:eastAsia="仿宋_GB2312"/>
          <w:szCs w:val="32"/>
        </w:rPr>
        <w:t>2</w:t>
      </w:r>
      <w:r>
        <w:rPr>
          <w:rFonts w:eastAsia="仿宋_GB2312"/>
          <w:szCs w:val="32"/>
        </w:rPr>
        <w:t>家省级以上科研院所、科创载体落户宜兴。加速建设宜兴国际生命科学创新园、生命健康产业园、卓易创意软件园等前沿产业园。深化知识产权金融服务，完善</w:t>
      </w:r>
      <w:r>
        <w:rPr>
          <w:rFonts w:eastAsia="仿宋_GB2312"/>
          <w:szCs w:val="32"/>
        </w:rPr>
        <w:t>“</w:t>
      </w:r>
      <w:r>
        <w:rPr>
          <w:rFonts w:eastAsia="仿宋_GB2312"/>
          <w:szCs w:val="32"/>
        </w:rPr>
        <w:t>政府</w:t>
      </w:r>
      <w:r>
        <w:rPr>
          <w:rFonts w:eastAsia="仿宋_GB2312"/>
          <w:szCs w:val="32"/>
        </w:rPr>
        <w:t>+</w:t>
      </w:r>
      <w:r>
        <w:rPr>
          <w:rFonts w:eastAsia="仿宋_GB2312"/>
          <w:szCs w:val="32"/>
        </w:rPr>
        <w:t>银行</w:t>
      </w:r>
      <w:r>
        <w:rPr>
          <w:rFonts w:eastAsia="仿宋_GB2312"/>
          <w:szCs w:val="32"/>
        </w:rPr>
        <w:t>+</w:t>
      </w:r>
      <w:r>
        <w:rPr>
          <w:rFonts w:eastAsia="仿宋_GB2312"/>
          <w:szCs w:val="32"/>
        </w:rPr>
        <w:t>担保</w:t>
      </w:r>
      <w:r>
        <w:rPr>
          <w:rFonts w:eastAsia="仿宋_GB2312"/>
          <w:szCs w:val="32"/>
        </w:rPr>
        <w:t>”</w:t>
      </w:r>
      <w:r>
        <w:rPr>
          <w:rFonts w:eastAsia="仿宋_GB2312"/>
          <w:szCs w:val="32"/>
        </w:rPr>
        <w:t>等多元化知识产权质押融资风险分担和补偿机制，有序推进</w:t>
      </w:r>
      <w:r>
        <w:rPr>
          <w:rFonts w:eastAsia="仿宋_GB2312"/>
          <w:szCs w:val="32"/>
        </w:rPr>
        <w:t>“</w:t>
      </w:r>
      <w:r>
        <w:rPr>
          <w:rFonts w:eastAsia="仿宋_GB2312"/>
          <w:szCs w:val="32"/>
        </w:rPr>
        <w:t>苏知贷</w:t>
      </w:r>
      <w:r>
        <w:rPr>
          <w:rFonts w:eastAsia="仿宋_GB2312"/>
          <w:szCs w:val="32"/>
        </w:rPr>
        <w:t>”</w:t>
      </w:r>
      <w:r>
        <w:rPr>
          <w:rFonts w:eastAsia="仿宋_GB2312"/>
          <w:szCs w:val="32"/>
        </w:rPr>
        <w:t>等知识产权金融产品，强化知识产权保险险种创新，积极探索和实施</w:t>
      </w:r>
      <w:r>
        <w:rPr>
          <w:rFonts w:eastAsia="仿宋_GB2312"/>
          <w:szCs w:val="32"/>
        </w:rPr>
        <w:t>ABS</w:t>
      </w:r>
      <w:r>
        <w:rPr>
          <w:rFonts w:eastAsia="仿宋_GB2312"/>
          <w:szCs w:val="32"/>
        </w:rPr>
        <w:t>、</w:t>
      </w:r>
      <w:r>
        <w:rPr>
          <w:rFonts w:eastAsia="仿宋_GB2312"/>
          <w:szCs w:val="32"/>
        </w:rPr>
        <w:t>ABN</w:t>
      </w:r>
      <w:r>
        <w:rPr>
          <w:rFonts w:eastAsia="仿宋_GB2312"/>
          <w:szCs w:val="32"/>
        </w:rPr>
        <w:t>等知识产权金融新模式，建设期内新增知识产权质押融资超</w:t>
      </w:r>
      <w:r>
        <w:rPr>
          <w:rFonts w:eastAsia="仿宋_GB2312"/>
          <w:szCs w:val="32"/>
        </w:rPr>
        <w:t>30</w:t>
      </w:r>
      <w:r>
        <w:rPr>
          <w:rFonts w:eastAsia="仿宋_GB2312"/>
          <w:szCs w:val="32"/>
        </w:rPr>
        <w:t>亿元。〔责任单位：市发改委、市科技局牵头，市知识产权战略实施工作领导小组其他成员单位，各镇（园区、街道）按职责分工负责〕</w:t>
      </w:r>
    </w:p>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15</w:t>
      </w:r>
      <w:r>
        <w:rPr>
          <w:rFonts w:eastAsia="仿宋_GB2312"/>
          <w:szCs w:val="32"/>
        </w:rPr>
        <w:t>、持续提升企</w:t>
      </w:r>
      <w:r>
        <w:rPr>
          <w:rFonts w:eastAsia="仿宋_GB2312"/>
          <w:szCs w:val="32"/>
        </w:rPr>
        <w:t>业运用效能。</w:t>
      </w:r>
      <w:r>
        <w:rPr>
          <w:rFonts w:eastAsia="仿宋_GB2312"/>
          <w:szCs w:val="32"/>
        </w:rPr>
        <w:t>鼓励重点企业率先实施知识产权创新管理体系（</w:t>
      </w:r>
      <w:r>
        <w:rPr>
          <w:rFonts w:eastAsia="仿宋_GB2312"/>
          <w:szCs w:val="32"/>
        </w:rPr>
        <w:t>ISO56005</w:t>
      </w:r>
      <w:r>
        <w:rPr>
          <w:rFonts w:eastAsia="仿宋_GB2312"/>
          <w:szCs w:val="32"/>
        </w:rPr>
        <w:t>）、引导企业有序实施《企业知识产权合规管理体系》，支持企业参加国家级、省级知识产权优势示范企业认定，开展宜兴知识产权优势单位评选，培养知识产权企业梯队，鼓励企业申报各级专利奖</w:t>
      </w:r>
      <w:bookmarkStart w:id="18" w:name="_Toc69825104"/>
      <w:bookmarkStart w:id="19" w:name="_Toc62857028"/>
      <w:bookmarkStart w:id="20" w:name="_Toc45705708"/>
      <w:bookmarkStart w:id="21" w:name="_Toc63683124"/>
      <w:bookmarkStart w:id="22" w:name="_Toc47964386"/>
      <w:bookmarkStart w:id="23" w:name="_Toc62857040"/>
      <w:bookmarkStart w:id="24" w:name="_Toc47894172"/>
      <w:bookmarkStart w:id="25" w:name="_Toc69824872"/>
      <w:bookmarkStart w:id="26" w:name="_Toc62857036"/>
      <w:r>
        <w:rPr>
          <w:rFonts w:eastAsia="仿宋_GB2312"/>
          <w:szCs w:val="32"/>
        </w:rPr>
        <w:t>，新增各级优势示范企业不少于</w:t>
      </w:r>
      <w:r>
        <w:rPr>
          <w:rFonts w:eastAsia="仿宋_GB2312"/>
          <w:szCs w:val="32"/>
        </w:rPr>
        <w:t>5</w:t>
      </w:r>
      <w:r>
        <w:rPr>
          <w:rFonts w:eastAsia="仿宋_GB2312"/>
          <w:szCs w:val="32"/>
        </w:rPr>
        <w:t>家，各级专利奖不少于</w:t>
      </w:r>
      <w:r>
        <w:rPr>
          <w:rFonts w:eastAsia="仿宋_GB2312"/>
          <w:szCs w:val="32"/>
        </w:rPr>
        <w:t>5</w:t>
      </w:r>
      <w:r>
        <w:rPr>
          <w:rFonts w:eastAsia="仿宋_GB2312"/>
          <w:szCs w:val="32"/>
        </w:rPr>
        <w:t>项。〔责任单位：市市场监管局（知识产权局）牵头，市知识产权战略实施工作领导小组其他成员单位，各镇（园区、街道）按职责分工负责〕</w:t>
      </w:r>
    </w:p>
    <w:bookmarkEnd w:id="18"/>
    <w:bookmarkEnd w:id="19"/>
    <w:bookmarkEnd w:id="20"/>
    <w:bookmarkEnd w:id="21"/>
    <w:bookmarkEnd w:id="22"/>
    <w:bookmarkEnd w:id="23"/>
    <w:bookmarkEnd w:id="24"/>
    <w:bookmarkEnd w:id="25"/>
    <w:bookmarkEnd w:id="26"/>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16</w:t>
      </w:r>
      <w:r>
        <w:rPr>
          <w:rFonts w:eastAsia="仿宋_GB2312"/>
          <w:szCs w:val="32"/>
        </w:rPr>
        <w:t>、深化园区知识产权发展。</w:t>
      </w:r>
      <w:r>
        <w:rPr>
          <w:rFonts w:eastAsia="仿宋_GB2312"/>
          <w:szCs w:val="32"/>
        </w:rPr>
        <w:t>以宜兴经济技术开发区、中国宜兴环保科技工业园为重点，深入推进</w:t>
      </w:r>
      <w:r>
        <w:rPr>
          <w:rFonts w:eastAsia="仿宋_GB2312"/>
          <w:szCs w:val="32"/>
        </w:rPr>
        <w:t>“</w:t>
      </w:r>
      <w:r>
        <w:rPr>
          <w:rFonts w:eastAsia="仿宋_GB2312"/>
          <w:szCs w:val="32"/>
        </w:rPr>
        <w:t>一园区、一产业、一导航</w:t>
      </w:r>
      <w:r>
        <w:rPr>
          <w:rFonts w:eastAsia="仿宋_GB2312"/>
          <w:szCs w:val="32"/>
        </w:rPr>
        <w:t>”</w:t>
      </w:r>
      <w:r>
        <w:rPr>
          <w:rFonts w:eastAsia="仿宋_GB2312"/>
          <w:szCs w:val="32"/>
        </w:rPr>
        <w:t>，促进园区产业从技术密集型向知识产权密集型转变。加快与宜兴陶都科创新城建设衔接，为新兴产业、关键技术落地</w:t>
      </w:r>
      <w:r>
        <w:rPr>
          <w:rFonts w:eastAsia="仿宋_GB2312"/>
          <w:szCs w:val="32"/>
        </w:rPr>
        <w:lastRenderedPageBreak/>
        <w:t>提供知识产权支撑。支持宜兴阳羡生态旅游度假区知识产权创新保护，促进知识产权与区域文化旅游、现代农业、制造业融合发展，打造具有一定影响力的区域品牌。〔责任单位：各园区管委会（管理办），市知识产权战略实施工作领导小组成员单位按职责分工负责〕</w:t>
      </w:r>
    </w:p>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17</w:t>
      </w:r>
      <w:r>
        <w:rPr>
          <w:rFonts w:eastAsia="仿宋_GB2312"/>
          <w:szCs w:val="32"/>
        </w:rPr>
        <w:t>、促进特色产业知识产权提升。</w:t>
      </w:r>
      <w:r>
        <w:rPr>
          <w:rFonts w:eastAsia="仿宋_GB2312"/>
          <w:szCs w:val="32"/>
        </w:rPr>
        <w:t>实施版权产业高质量发展示范带动工程，建立健全软件正版化长效工作机制，建立版权交易和服务平台，打造紫砂特色版权产业</w:t>
      </w:r>
      <w:r>
        <w:rPr>
          <w:rFonts w:eastAsia="仿宋_GB2312"/>
          <w:szCs w:val="32"/>
        </w:rPr>
        <w:t>集聚区，争创江苏省版权示范城市。强化重点品牌、地理标志产品、老字号等培育和运</w:t>
      </w:r>
      <w:r>
        <w:rPr>
          <w:rFonts w:eastAsia="仿宋_GB2312"/>
          <w:spacing w:val="-6"/>
          <w:szCs w:val="32"/>
        </w:rPr>
        <w:t>用，用好线上线下各类营销平台，持续提升地理标志证明商标的运用能力。</w:t>
      </w:r>
      <w:bookmarkStart w:id="27" w:name="_Toc69825108"/>
      <w:bookmarkStart w:id="28" w:name="_Toc63683141"/>
      <w:bookmarkStart w:id="29" w:name="_Toc69824876"/>
      <w:r>
        <w:rPr>
          <w:rFonts w:eastAsia="仿宋_GB2312"/>
          <w:spacing w:val="-6"/>
          <w:szCs w:val="32"/>
        </w:rPr>
        <w:t>〔责任单位：市委宣传部牵头，市知识产权战略实施工作领导小组其他成员单位，各镇（园区、街道）按职责分工负责〕</w:t>
      </w:r>
    </w:p>
    <w:p w:rsidR="00B37599" w:rsidRDefault="00955C08">
      <w:pPr>
        <w:pStyle w:val="15"/>
        <w:widowControl w:val="0"/>
        <w:overflowPunct w:val="0"/>
        <w:adjustRightInd/>
        <w:snapToGrid/>
        <w:spacing w:after="0" w:line="576" w:lineRule="exact"/>
        <w:ind w:firstLineChars="200" w:firstLine="640"/>
        <w:jc w:val="both"/>
        <w:outlineLvl w:val="2"/>
        <w:rPr>
          <w:rFonts w:ascii="Times New Roman" w:eastAsia="仿宋_GB2312" w:hAnsi="Times New Roman"/>
          <w:sz w:val="32"/>
          <w:szCs w:val="32"/>
        </w:rPr>
      </w:pPr>
      <w:r>
        <w:rPr>
          <w:rFonts w:ascii="Times New Roman" w:eastAsia="仿宋_GB2312" w:hAnsi="Times New Roman"/>
          <w:sz w:val="32"/>
          <w:szCs w:val="32"/>
        </w:rPr>
        <w:t>18</w:t>
      </w:r>
      <w:r>
        <w:rPr>
          <w:rFonts w:ascii="Times New Roman" w:eastAsia="仿宋_GB2312" w:hAnsi="Times New Roman"/>
          <w:sz w:val="32"/>
          <w:szCs w:val="32"/>
        </w:rPr>
        <w:t>、推进知识产权军民融合。</w:t>
      </w:r>
      <w:r>
        <w:rPr>
          <w:rFonts w:ascii="Times New Roman" w:eastAsia="仿宋_GB2312" w:hAnsi="Times New Roman"/>
          <w:sz w:val="32"/>
          <w:szCs w:val="32"/>
        </w:rPr>
        <w:t>完善知识产权军民融合发展体制机制，组织军民双向转化对接活动，推动</w:t>
      </w:r>
      <w:r>
        <w:rPr>
          <w:rFonts w:ascii="Times New Roman" w:eastAsia="仿宋_GB2312" w:hAnsi="Times New Roman"/>
          <w:sz w:val="32"/>
          <w:szCs w:val="32"/>
        </w:rPr>
        <w:t>“</w:t>
      </w:r>
      <w:r>
        <w:rPr>
          <w:rFonts w:ascii="Times New Roman" w:eastAsia="仿宋_GB2312" w:hAnsi="Times New Roman"/>
          <w:sz w:val="32"/>
          <w:szCs w:val="32"/>
        </w:rPr>
        <w:t>军转民</w:t>
      </w:r>
      <w:r>
        <w:rPr>
          <w:rFonts w:ascii="Times New Roman" w:eastAsia="仿宋_GB2312" w:hAnsi="Times New Roman"/>
          <w:sz w:val="32"/>
          <w:szCs w:val="32"/>
        </w:rPr>
        <w:t>”</w:t>
      </w:r>
      <w:r>
        <w:rPr>
          <w:rFonts w:ascii="Times New Roman" w:eastAsia="仿宋_GB2312" w:hAnsi="Times New Roman"/>
          <w:sz w:val="32"/>
          <w:szCs w:val="32"/>
        </w:rPr>
        <w:t>优质知识产权资源落地宜兴，畅通</w:t>
      </w:r>
      <w:r>
        <w:rPr>
          <w:rFonts w:ascii="Times New Roman" w:eastAsia="仿宋_GB2312" w:hAnsi="Times New Roman"/>
          <w:sz w:val="32"/>
          <w:szCs w:val="32"/>
        </w:rPr>
        <w:t>“</w:t>
      </w:r>
      <w:r>
        <w:rPr>
          <w:rFonts w:ascii="Times New Roman" w:eastAsia="仿宋_GB2312" w:hAnsi="Times New Roman"/>
          <w:sz w:val="32"/>
          <w:szCs w:val="32"/>
        </w:rPr>
        <w:t>民参军</w:t>
      </w:r>
      <w:r>
        <w:rPr>
          <w:rFonts w:ascii="Times New Roman" w:eastAsia="仿宋_GB2312" w:hAnsi="Times New Roman"/>
          <w:sz w:val="32"/>
          <w:szCs w:val="32"/>
        </w:rPr>
        <w:t>”</w:t>
      </w:r>
      <w:r>
        <w:rPr>
          <w:rFonts w:ascii="Times New Roman" w:eastAsia="仿宋_GB2312" w:hAnsi="Times New Roman"/>
          <w:sz w:val="32"/>
          <w:szCs w:val="32"/>
        </w:rPr>
        <w:t>渠道，推动</w:t>
      </w:r>
      <w:r>
        <w:rPr>
          <w:rFonts w:ascii="Times New Roman" w:eastAsia="仿宋_GB2312" w:hAnsi="Times New Roman"/>
          <w:sz w:val="32"/>
          <w:szCs w:val="32"/>
        </w:rPr>
        <w:t>“</w:t>
      </w:r>
      <w:r>
        <w:rPr>
          <w:rFonts w:ascii="Times New Roman" w:eastAsia="仿宋_GB2312" w:hAnsi="Times New Roman"/>
          <w:sz w:val="32"/>
          <w:szCs w:val="32"/>
        </w:rPr>
        <w:t>民参军</w:t>
      </w:r>
      <w:r>
        <w:rPr>
          <w:rFonts w:ascii="Times New Roman" w:eastAsia="仿宋_GB2312" w:hAnsi="Times New Roman"/>
          <w:sz w:val="32"/>
          <w:szCs w:val="32"/>
        </w:rPr>
        <w:t>”</w:t>
      </w:r>
      <w:r>
        <w:rPr>
          <w:rFonts w:ascii="Times New Roman" w:eastAsia="仿宋_GB2312" w:hAnsi="Times New Roman"/>
          <w:sz w:val="32"/>
          <w:szCs w:val="32"/>
        </w:rPr>
        <w:t>企业知识产权核心竞争力提升，培育一批知识产权军民融合骨干企业，积极申报省级知识产权军民融合试点。〔责</w:t>
      </w:r>
      <w:r>
        <w:rPr>
          <w:rFonts w:ascii="Times New Roman" w:eastAsia="仿宋_GB2312" w:hAnsi="Times New Roman"/>
          <w:sz w:val="32"/>
          <w:szCs w:val="32"/>
        </w:rPr>
        <w:t>任单位：市市场监管局（知识产权局）牵头，市知识产权战略实施工作领导小组其他成员单位，各镇（园区、街道）按职责分工负责〕</w:t>
      </w:r>
    </w:p>
    <w:p w:rsidR="00B37599" w:rsidRDefault="00955C08" w:rsidP="00351CAF">
      <w:pPr>
        <w:widowControl w:val="0"/>
        <w:overflowPunct w:val="0"/>
        <w:spacing w:after="0" w:line="576" w:lineRule="exact"/>
        <w:ind w:firstLine="640"/>
        <w:rPr>
          <w:rFonts w:ascii="楷体_GB2312" w:eastAsia="楷体_GB2312" w:hAnsi="楷体_GB2312" w:cs="楷体_GB2312"/>
          <w:szCs w:val="32"/>
        </w:rPr>
      </w:pPr>
      <w:r>
        <w:rPr>
          <w:rFonts w:ascii="楷体_GB2312" w:eastAsia="楷体_GB2312" w:hAnsi="楷体_GB2312" w:cs="楷体_GB2312"/>
          <w:szCs w:val="32"/>
        </w:rPr>
        <w:t>（五）加强知识产权高品质服务，满足产业多元化需求</w:t>
      </w:r>
      <w:bookmarkEnd w:id="27"/>
      <w:bookmarkEnd w:id="28"/>
      <w:bookmarkEnd w:id="29"/>
    </w:p>
    <w:p w:rsidR="00B37599" w:rsidRDefault="00955C08" w:rsidP="00351CAF">
      <w:pPr>
        <w:widowControl w:val="0"/>
        <w:overflowPunct w:val="0"/>
        <w:spacing w:after="0" w:line="576" w:lineRule="exact"/>
        <w:ind w:firstLine="640"/>
        <w:rPr>
          <w:rFonts w:eastAsia="仿宋_GB2312"/>
          <w:szCs w:val="32"/>
        </w:rPr>
      </w:pPr>
      <w:bookmarkStart w:id="30" w:name="_Toc63683142"/>
      <w:bookmarkStart w:id="31" w:name="_Toc69824877"/>
      <w:bookmarkStart w:id="32" w:name="_Toc69825109"/>
      <w:bookmarkStart w:id="33" w:name="_Toc47952847"/>
      <w:bookmarkStart w:id="34" w:name="_Toc47942627"/>
      <w:bookmarkStart w:id="35" w:name="_Toc47964403"/>
      <w:r>
        <w:rPr>
          <w:rFonts w:eastAsia="仿宋_GB2312"/>
          <w:szCs w:val="32"/>
        </w:rPr>
        <w:t>19</w:t>
      </w:r>
      <w:r>
        <w:rPr>
          <w:rFonts w:eastAsia="仿宋_GB2312"/>
          <w:szCs w:val="32"/>
        </w:rPr>
        <w:t>、构建知识产权现代化服务体系</w:t>
      </w:r>
      <w:bookmarkEnd w:id="30"/>
      <w:bookmarkEnd w:id="31"/>
      <w:bookmarkEnd w:id="32"/>
      <w:r>
        <w:rPr>
          <w:rFonts w:eastAsia="仿宋_GB2312"/>
          <w:szCs w:val="32"/>
        </w:rPr>
        <w:t>。</w:t>
      </w:r>
      <w:r>
        <w:rPr>
          <w:rFonts w:eastAsia="仿宋_GB2312"/>
          <w:szCs w:val="32"/>
        </w:rPr>
        <w:t>对接国家和省知识产权大数据中心（平台），建设市级知识产权保护综合服务中心、</w:t>
      </w:r>
      <w:r>
        <w:rPr>
          <w:rFonts w:eastAsia="仿宋_GB2312"/>
          <w:szCs w:val="32"/>
        </w:rPr>
        <w:lastRenderedPageBreak/>
        <w:t>知识产权公共服务平台，实现知识产权服务</w:t>
      </w:r>
      <w:r>
        <w:rPr>
          <w:rFonts w:eastAsia="仿宋_GB2312"/>
          <w:szCs w:val="32"/>
        </w:rPr>
        <w:t>“</w:t>
      </w:r>
      <w:r>
        <w:rPr>
          <w:rFonts w:eastAsia="仿宋_GB2312"/>
          <w:szCs w:val="32"/>
        </w:rPr>
        <w:t>一网通办</w:t>
      </w:r>
      <w:r>
        <w:rPr>
          <w:rFonts w:eastAsia="仿宋_GB2312"/>
          <w:szCs w:val="32"/>
        </w:rPr>
        <w:t>”“</w:t>
      </w:r>
      <w:r>
        <w:rPr>
          <w:rFonts w:eastAsia="仿宋_GB2312"/>
          <w:szCs w:val="32"/>
        </w:rPr>
        <w:t>一窗通办</w:t>
      </w:r>
      <w:r>
        <w:rPr>
          <w:rFonts w:eastAsia="仿宋_GB2312"/>
          <w:szCs w:val="32"/>
        </w:rPr>
        <w:t>”</w:t>
      </w:r>
      <w:r>
        <w:rPr>
          <w:rFonts w:eastAsia="仿宋_GB2312"/>
          <w:szCs w:val="32"/>
        </w:rPr>
        <w:t>。加快知识产权公共服务网点布局，构建政府主导、多元参与、互联共享的知识产权现代化公共服务体系。建立跨</w:t>
      </w:r>
      <w:r>
        <w:rPr>
          <w:rFonts w:eastAsia="仿宋_GB2312"/>
          <w:szCs w:val="32"/>
        </w:rPr>
        <w:t>“</w:t>
      </w:r>
      <w:r>
        <w:rPr>
          <w:rFonts w:eastAsia="仿宋_GB2312"/>
          <w:szCs w:val="32"/>
        </w:rPr>
        <w:t>宁杭生态经济带</w:t>
      </w:r>
      <w:r>
        <w:rPr>
          <w:rFonts w:eastAsia="仿宋_GB2312"/>
          <w:szCs w:val="32"/>
        </w:rPr>
        <w:t>”</w:t>
      </w:r>
      <w:r>
        <w:rPr>
          <w:rFonts w:eastAsia="仿宋_GB2312"/>
          <w:szCs w:val="32"/>
        </w:rPr>
        <w:t>和</w:t>
      </w:r>
      <w:r>
        <w:rPr>
          <w:rFonts w:eastAsia="仿宋_GB2312"/>
          <w:szCs w:val="32"/>
        </w:rPr>
        <w:t>“</w:t>
      </w:r>
      <w:r>
        <w:rPr>
          <w:rFonts w:eastAsia="仿宋_GB2312"/>
          <w:szCs w:val="32"/>
        </w:rPr>
        <w:t>苏浙皖</w:t>
      </w:r>
      <w:r>
        <w:rPr>
          <w:rFonts w:eastAsia="仿宋_GB2312"/>
          <w:szCs w:val="32"/>
        </w:rPr>
        <w:t>”</w:t>
      </w:r>
      <w:r>
        <w:rPr>
          <w:rFonts w:eastAsia="仿宋_GB2312"/>
          <w:szCs w:val="32"/>
        </w:rPr>
        <w:t>的知识产权公共服务合作机制，实现跨行政区域</w:t>
      </w:r>
      <w:r>
        <w:rPr>
          <w:rFonts w:eastAsia="仿宋_GB2312"/>
          <w:szCs w:val="32"/>
        </w:rPr>
        <w:t>知识产权服务信息共享。〔责任单位：市市场监管局（知识产权局）牵头，市知识产权战略实施工作领导小组其他成员单位，各镇（园区、街道）按职责分工负责〕</w:t>
      </w:r>
    </w:p>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20</w:t>
      </w:r>
      <w:r>
        <w:rPr>
          <w:rFonts w:eastAsia="仿宋_GB2312"/>
          <w:szCs w:val="32"/>
        </w:rPr>
        <w:t>、推动知识产权服务高质量发展。</w:t>
      </w:r>
      <w:r>
        <w:rPr>
          <w:rFonts w:eastAsia="仿宋_GB2312"/>
          <w:szCs w:val="32"/>
        </w:rPr>
        <w:t>强化政策引导，吸引国内外知名、省内外一流知识产权服务机构入驻宜兴，建成宜兴市知识产权服务业集聚区，争创省级、国家级知识产权服务业集聚区。</w:t>
      </w:r>
      <w:bookmarkEnd w:id="33"/>
      <w:bookmarkEnd w:id="34"/>
      <w:bookmarkEnd w:id="35"/>
      <w:r>
        <w:rPr>
          <w:rFonts w:eastAsia="仿宋_GB2312"/>
        </w:rPr>
        <w:t>扩大已进驻知识产权服务机构的发展规模，推动传统知识产权服务机构高质量发展，打造一批有区域影响力的知名服务品牌。</w:t>
      </w:r>
      <w:r>
        <w:rPr>
          <w:rFonts w:eastAsia="仿宋_GB2312"/>
          <w:szCs w:val="32"/>
        </w:rPr>
        <w:t>〔责任单位：市市场监管局（知识产权局）牵头，市知识产权战略实施工作领导小组其他成员单位，各镇（园区、街道）按职责分工负责〕</w:t>
      </w:r>
    </w:p>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21</w:t>
      </w:r>
      <w:r>
        <w:rPr>
          <w:rFonts w:eastAsia="仿宋_GB2312"/>
          <w:szCs w:val="32"/>
        </w:rPr>
        <w:t>、加强知识产权人才队伍建设。</w:t>
      </w:r>
      <w:r>
        <w:rPr>
          <w:rFonts w:eastAsia="仿宋_GB2312"/>
          <w:szCs w:val="32"/>
        </w:rPr>
        <w:t>建立知识产权专业化人才培养机制和技术调查官制度，建成市级知识产权智库、专家库。发挥</w:t>
      </w:r>
      <w:r>
        <w:rPr>
          <w:rFonts w:eastAsia="仿宋_GB2312"/>
          <w:szCs w:val="32"/>
        </w:rPr>
        <w:t>“</w:t>
      </w:r>
      <w:r>
        <w:rPr>
          <w:rFonts w:eastAsia="仿宋_GB2312"/>
          <w:szCs w:val="32"/>
        </w:rPr>
        <w:t>氿子兴宜</w:t>
      </w:r>
      <w:r>
        <w:rPr>
          <w:rFonts w:eastAsia="仿宋_GB2312"/>
          <w:szCs w:val="32"/>
        </w:rPr>
        <w:t>”</w:t>
      </w:r>
      <w:r>
        <w:rPr>
          <w:rFonts w:eastAsia="仿宋_GB2312"/>
          <w:szCs w:val="32"/>
        </w:rPr>
        <w:t>工程和</w:t>
      </w:r>
      <w:r>
        <w:rPr>
          <w:rFonts w:eastAsia="仿宋_GB2312"/>
          <w:szCs w:val="32"/>
        </w:rPr>
        <w:t>“</w:t>
      </w:r>
      <w:r>
        <w:rPr>
          <w:rFonts w:eastAsia="仿宋_GB2312"/>
          <w:szCs w:val="32"/>
        </w:rPr>
        <w:t>氿智坊</w:t>
      </w:r>
      <w:r>
        <w:rPr>
          <w:rFonts w:eastAsia="仿宋_GB2312"/>
          <w:szCs w:val="32"/>
        </w:rPr>
        <w:t>”</w:t>
      </w:r>
      <w:r>
        <w:rPr>
          <w:rFonts w:eastAsia="仿宋_GB2312"/>
          <w:szCs w:val="32"/>
        </w:rPr>
        <w:t>人才集聚效应，成立宜兴籍知识产权领域的乡贤数据库，构筑宜创宜业宜居的知识产权人才聚集区。完善知识产权人才激励政策，健全知识产权人才培育梯队，强化知识产权从业人员培训力度，</w:t>
      </w:r>
      <w:bookmarkStart w:id="36" w:name="_Toc69825116"/>
      <w:bookmarkStart w:id="37" w:name="_Toc69824884"/>
      <w:bookmarkStart w:id="38" w:name="_Toc63683145"/>
      <w:bookmarkStart w:id="39" w:name="_Toc69825121"/>
      <w:bookmarkStart w:id="40" w:name="_Toc69824901"/>
      <w:bookmarkStart w:id="41" w:name="_Toc47964410"/>
      <w:r>
        <w:rPr>
          <w:rFonts w:eastAsia="仿宋_GB2312"/>
          <w:szCs w:val="32"/>
        </w:rPr>
        <w:t>知识产权专家库人才达</w:t>
      </w:r>
      <w:r>
        <w:rPr>
          <w:rFonts w:eastAsia="仿宋_GB2312"/>
          <w:szCs w:val="32"/>
        </w:rPr>
        <w:t>50</w:t>
      </w:r>
      <w:r>
        <w:rPr>
          <w:rFonts w:eastAsia="仿宋_GB2312"/>
          <w:szCs w:val="32"/>
        </w:rPr>
        <w:t>人，累计培训知识产权各类人才不少于</w:t>
      </w:r>
      <w:r>
        <w:rPr>
          <w:rFonts w:eastAsia="仿宋_GB2312"/>
          <w:szCs w:val="32"/>
        </w:rPr>
        <w:t>1000</w:t>
      </w:r>
      <w:r>
        <w:rPr>
          <w:rFonts w:eastAsia="仿宋_GB2312"/>
          <w:szCs w:val="32"/>
        </w:rPr>
        <w:t>人次。〔责</w:t>
      </w:r>
      <w:r>
        <w:rPr>
          <w:rFonts w:eastAsia="仿宋_GB2312"/>
          <w:szCs w:val="32"/>
        </w:rPr>
        <w:t>任单位：市委组织部牵头，市知识产权战略实施工作领导小组</w:t>
      </w:r>
      <w:r>
        <w:rPr>
          <w:rFonts w:eastAsia="仿宋_GB2312"/>
          <w:szCs w:val="32"/>
        </w:rPr>
        <w:lastRenderedPageBreak/>
        <w:t>其他成员单位，各镇（园区、街道）按职责分工负责〕</w:t>
      </w:r>
    </w:p>
    <w:p w:rsidR="00B37599" w:rsidRDefault="00955C08" w:rsidP="00351CAF">
      <w:pPr>
        <w:widowControl w:val="0"/>
        <w:overflowPunct w:val="0"/>
        <w:spacing w:after="0" w:line="576" w:lineRule="exact"/>
        <w:ind w:firstLine="640"/>
        <w:rPr>
          <w:rFonts w:eastAsia="仿宋_GB2312"/>
          <w:szCs w:val="32"/>
        </w:rPr>
      </w:pPr>
      <w:r>
        <w:rPr>
          <w:rFonts w:eastAsia="仿宋_GB2312"/>
          <w:szCs w:val="32"/>
        </w:rPr>
        <w:t>22</w:t>
      </w:r>
      <w:r>
        <w:rPr>
          <w:rFonts w:eastAsia="仿宋_GB2312"/>
          <w:szCs w:val="32"/>
        </w:rPr>
        <w:t>、营造知识产权文化氛围。</w:t>
      </w:r>
      <w:r>
        <w:rPr>
          <w:rFonts w:eastAsia="仿宋_GB2312"/>
          <w:szCs w:val="32"/>
        </w:rPr>
        <w:t>加强知识产权文化与传统文化、区域特色文化融合，开展中小学知识产权教育试点示范工作，推动知识产权进机关、进企业、进社区、进校园、进网络。每年举办陶都知识产权主题讲座，强化知识产权宣传周、专利周、中国品牌日等主题宣传活动，举办知识产权大讲堂、知识产</w:t>
      </w:r>
      <w:r>
        <w:rPr>
          <w:rFonts w:eastAsia="仿宋_GB2312"/>
          <w:spacing w:val="6"/>
          <w:szCs w:val="32"/>
        </w:rPr>
        <w:t>权文化沙龙等公益性活动，发布知识产权典型案例。〔责任单位：市市场监管局（知识产权局）牵头，市知识产权战略实施工作领导小组其他成员单位，各</w:t>
      </w:r>
      <w:r>
        <w:rPr>
          <w:rFonts w:eastAsia="仿宋_GB2312"/>
          <w:spacing w:val="6"/>
          <w:szCs w:val="32"/>
        </w:rPr>
        <w:t>镇（园区、街道）按职责分工负责〕</w:t>
      </w:r>
    </w:p>
    <w:p w:rsidR="00B37599" w:rsidRDefault="00955C08" w:rsidP="00351CAF">
      <w:pPr>
        <w:widowControl w:val="0"/>
        <w:overflowPunct w:val="0"/>
        <w:spacing w:after="0" w:line="576" w:lineRule="exact"/>
        <w:ind w:firstLine="640"/>
        <w:rPr>
          <w:rFonts w:ascii="楷体_GB2312" w:eastAsia="楷体_GB2312" w:hAnsi="楷体_GB2312" w:cs="楷体_GB2312"/>
          <w:szCs w:val="32"/>
        </w:rPr>
      </w:pPr>
      <w:r>
        <w:rPr>
          <w:rFonts w:ascii="楷体_GB2312" w:eastAsia="楷体_GB2312" w:hAnsi="楷体_GB2312" w:cs="楷体_GB2312"/>
          <w:szCs w:val="32"/>
        </w:rPr>
        <w:t>（六）建强知识产权特色高地，创优区域经济发展</w:t>
      </w:r>
      <w:bookmarkEnd w:id="36"/>
      <w:bookmarkEnd w:id="37"/>
      <w:r>
        <w:rPr>
          <w:rFonts w:ascii="楷体_GB2312" w:eastAsia="楷体_GB2312" w:hAnsi="楷体_GB2312" w:cs="楷体_GB2312"/>
          <w:szCs w:val="32"/>
        </w:rPr>
        <w:t>特色</w:t>
      </w:r>
    </w:p>
    <w:p w:rsidR="00B37599" w:rsidRDefault="00955C08">
      <w:pPr>
        <w:widowControl w:val="0"/>
        <w:overflowPunct w:val="0"/>
        <w:spacing w:after="0" w:line="552" w:lineRule="exact"/>
        <w:ind w:firstLine="640"/>
        <w:rPr>
          <w:rFonts w:eastAsia="仿宋_GB2312"/>
          <w:szCs w:val="32"/>
        </w:rPr>
      </w:pPr>
      <w:bookmarkStart w:id="42" w:name="_Toc69825117"/>
      <w:bookmarkStart w:id="43" w:name="_Toc69824885"/>
      <w:r>
        <w:rPr>
          <w:rFonts w:eastAsia="仿宋_GB2312"/>
          <w:szCs w:val="32"/>
        </w:rPr>
        <w:t>23</w:t>
      </w:r>
      <w:r>
        <w:rPr>
          <w:rFonts w:eastAsia="仿宋_GB2312"/>
          <w:szCs w:val="32"/>
        </w:rPr>
        <w:t>、打造知识产权区位高地</w:t>
      </w:r>
      <w:bookmarkEnd w:id="42"/>
      <w:bookmarkEnd w:id="43"/>
      <w:r>
        <w:rPr>
          <w:rFonts w:eastAsia="仿宋_GB2312"/>
          <w:szCs w:val="32"/>
        </w:rPr>
        <w:t>。</w:t>
      </w:r>
      <w:r>
        <w:rPr>
          <w:rFonts w:eastAsia="仿宋_GB2312"/>
          <w:szCs w:val="32"/>
        </w:rPr>
        <w:t>紧扣宜兴</w:t>
      </w:r>
      <w:r>
        <w:rPr>
          <w:rFonts w:eastAsia="仿宋_GB2312"/>
          <w:szCs w:val="32"/>
        </w:rPr>
        <w:t>“</w:t>
      </w:r>
      <w:r>
        <w:rPr>
          <w:rFonts w:eastAsia="仿宋_GB2312"/>
          <w:szCs w:val="32"/>
        </w:rPr>
        <w:t>区域性国际化中心城市</w:t>
      </w:r>
      <w:r>
        <w:rPr>
          <w:rFonts w:eastAsia="仿宋_GB2312"/>
          <w:szCs w:val="32"/>
        </w:rPr>
        <w:t>”“</w:t>
      </w:r>
      <w:r>
        <w:rPr>
          <w:rFonts w:eastAsia="仿宋_GB2312"/>
          <w:szCs w:val="32"/>
        </w:rPr>
        <w:t>两大体系建设</w:t>
      </w:r>
      <w:r>
        <w:rPr>
          <w:rFonts w:eastAsia="仿宋_GB2312"/>
          <w:szCs w:val="32"/>
        </w:rPr>
        <w:t>”</w:t>
      </w:r>
      <w:r>
        <w:rPr>
          <w:rFonts w:eastAsia="仿宋_GB2312"/>
          <w:szCs w:val="32"/>
        </w:rPr>
        <w:t>机遇，加快融入长三角一体化的知识产权建设，推进与</w:t>
      </w:r>
      <w:r>
        <w:rPr>
          <w:rFonts w:eastAsia="仿宋_GB2312"/>
          <w:szCs w:val="32"/>
        </w:rPr>
        <w:t>“</w:t>
      </w:r>
      <w:r>
        <w:rPr>
          <w:rFonts w:eastAsia="仿宋_GB2312"/>
          <w:szCs w:val="32"/>
        </w:rPr>
        <w:t>一地六县</w:t>
      </w:r>
      <w:r>
        <w:rPr>
          <w:rFonts w:eastAsia="仿宋_GB2312"/>
          <w:szCs w:val="32"/>
        </w:rPr>
        <w:t>”</w:t>
      </w:r>
      <w:r>
        <w:rPr>
          <w:rFonts w:eastAsia="仿宋_GB2312"/>
          <w:szCs w:val="32"/>
          <w:vertAlign w:val="superscript"/>
        </w:rPr>
        <w:footnoteReference w:id="1"/>
      </w:r>
      <w:r>
        <w:rPr>
          <w:rFonts w:eastAsia="仿宋_GB2312"/>
          <w:szCs w:val="32"/>
        </w:rPr>
        <w:t>联合打造知识产权合作示范区，</w:t>
      </w:r>
      <w:bookmarkStart w:id="44" w:name="_Toc69824886"/>
      <w:r>
        <w:rPr>
          <w:rFonts w:eastAsia="仿宋_GB2312"/>
          <w:szCs w:val="32"/>
        </w:rPr>
        <w:t>加快推进太湖湾科创带建设，强化锡宜知识产权一体化</w:t>
      </w:r>
      <w:bookmarkEnd w:id="44"/>
      <w:r>
        <w:rPr>
          <w:rFonts w:eastAsia="仿宋_GB2312"/>
          <w:szCs w:val="32"/>
        </w:rPr>
        <w:t>建设。按照</w:t>
      </w:r>
      <w:r>
        <w:rPr>
          <w:rFonts w:eastAsia="仿宋_GB2312"/>
          <w:szCs w:val="32"/>
        </w:rPr>
        <w:t>“</w:t>
      </w:r>
      <w:r>
        <w:rPr>
          <w:rFonts w:eastAsia="仿宋_GB2312"/>
          <w:szCs w:val="32"/>
        </w:rPr>
        <w:t>一湾三带</w:t>
      </w:r>
      <w:r>
        <w:rPr>
          <w:rFonts w:eastAsia="仿宋_GB2312"/>
          <w:szCs w:val="32"/>
        </w:rPr>
        <w:t>”</w:t>
      </w:r>
      <w:r>
        <w:rPr>
          <w:rFonts w:eastAsia="仿宋_GB2312"/>
          <w:szCs w:val="32"/>
          <w:vertAlign w:val="superscript"/>
        </w:rPr>
        <w:footnoteReference w:id="2"/>
      </w:r>
      <w:r>
        <w:rPr>
          <w:rFonts w:eastAsia="仿宋_GB2312"/>
          <w:szCs w:val="32"/>
        </w:rPr>
        <w:t>锡宜协同发展的空间布局要求，构建锡宜知识产权一体化先试区，推进区域知识产权治理体系</w:t>
      </w:r>
      <w:bookmarkStart w:id="45" w:name="_Toc69824887"/>
      <w:r>
        <w:rPr>
          <w:rFonts w:eastAsia="仿宋_GB2312"/>
          <w:szCs w:val="32"/>
        </w:rPr>
        <w:t>现代化。</w:t>
      </w:r>
      <w:bookmarkStart w:id="46" w:name="_Toc69825119"/>
      <w:bookmarkStart w:id="47" w:name="_Toc69824894"/>
      <w:bookmarkEnd w:id="45"/>
      <w:r>
        <w:rPr>
          <w:rFonts w:eastAsia="仿宋_GB2312"/>
          <w:szCs w:val="32"/>
        </w:rPr>
        <w:t>〔责任单位：市市场监管局（知识产权局）牵头，市知识产权战略实施工作领导小组其他成员单位，各镇（园区、</w:t>
      </w:r>
      <w:r>
        <w:rPr>
          <w:rFonts w:eastAsia="仿宋_GB2312"/>
          <w:szCs w:val="32"/>
        </w:rPr>
        <w:t>街道）按职责分工负责〕</w:t>
      </w:r>
    </w:p>
    <w:p w:rsidR="00B37599" w:rsidRDefault="00955C08">
      <w:pPr>
        <w:widowControl w:val="0"/>
        <w:overflowPunct w:val="0"/>
        <w:spacing w:after="0" w:line="552" w:lineRule="exact"/>
        <w:ind w:firstLine="640"/>
        <w:rPr>
          <w:rFonts w:eastAsia="仿宋_GB2312"/>
          <w:szCs w:val="32"/>
        </w:rPr>
      </w:pPr>
      <w:r>
        <w:rPr>
          <w:rFonts w:eastAsia="仿宋_GB2312"/>
          <w:szCs w:val="32"/>
        </w:rPr>
        <w:t>24</w:t>
      </w:r>
      <w:r>
        <w:rPr>
          <w:rFonts w:eastAsia="仿宋_GB2312"/>
          <w:szCs w:val="32"/>
        </w:rPr>
        <w:t>、构筑陶瓷知识产权特色高地</w:t>
      </w:r>
      <w:bookmarkEnd w:id="46"/>
      <w:bookmarkEnd w:id="47"/>
      <w:r>
        <w:rPr>
          <w:rFonts w:eastAsia="仿宋_GB2312"/>
          <w:szCs w:val="32"/>
        </w:rPr>
        <w:t>。</w:t>
      </w:r>
      <w:r>
        <w:rPr>
          <w:rFonts w:eastAsia="仿宋_GB2312"/>
          <w:szCs w:val="32"/>
        </w:rPr>
        <w:t>围绕工业陶瓷、工艺陶</w:t>
      </w:r>
      <w:r>
        <w:rPr>
          <w:rFonts w:eastAsia="仿宋_GB2312"/>
          <w:szCs w:val="32"/>
        </w:rPr>
        <w:lastRenderedPageBreak/>
        <w:t>瓷，加大知识产权创造和运用，培育具有高影响力的陶瓷商标品牌，强化陶瓷行业商业秘密保护。鼓励陶瓷产业与高校、科研院所、陶瓷技术创新中心等科研平台合作，强化企业知识产权管理和创新。</w:t>
      </w:r>
      <w:bookmarkStart w:id="48" w:name="_Toc69825120"/>
      <w:bookmarkStart w:id="49" w:name="_Toc69824897"/>
      <w:r>
        <w:rPr>
          <w:rFonts w:eastAsia="仿宋_GB2312"/>
          <w:szCs w:val="32"/>
        </w:rPr>
        <w:t>〔责任单位：市发改委牵头，市知识产权战略实施工作领导小组其他成员单位，各镇（园区、街道）按职责分工负责〕</w:t>
      </w:r>
    </w:p>
    <w:p w:rsidR="00B37599" w:rsidRDefault="00955C08">
      <w:pPr>
        <w:widowControl w:val="0"/>
        <w:overflowPunct w:val="0"/>
        <w:spacing w:after="0" w:line="552" w:lineRule="exact"/>
        <w:ind w:firstLine="640"/>
        <w:rPr>
          <w:rFonts w:eastAsia="仿宋_GB2312"/>
          <w:szCs w:val="32"/>
        </w:rPr>
      </w:pPr>
      <w:r>
        <w:rPr>
          <w:rFonts w:eastAsia="仿宋_GB2312"/>
          <w:szCs w:val="32"/>
        </w:rPr>
        <w:t>25</w:t>
      </w:r>
      <w:r>
        <w:rPr>
          <w:rFonts w:eastAsia="仿宋_GB2312"/>
          <w:szCs w:val="32"/>
        </w:rPr>
        <w:t>、建设</w:t>
      </w:r>
      <w:r>
        <w:rPr>
          <w:rFonts w:eastAsia="仿宋_GB2312"/>
          <w:szCs w:val="32"/>
        </w:rPr>
        <w:t>“</w:t>
      </w:r>
      <w:r>
        <w:rPr>
          <w:rFonts w:eastAsia="仿宋_GB2312"/>
          <w:szCs w:val="32"/>
        </w:rPr>
        <w:t>乡土</w:t>
      </w:r>
      <w:r>
        <w:rPr>
          <w:rFonts w:eastAsia="仿宋_GB2312"/>
          <w:szCs w:val="32"/>
        </w:rPr>
        <w:t>”</w:t>
      </w:r>
      <w:r>
        <w:rPr>
          <w:rFonts w:eastAsia="仿宋_GB2312"/>
          <w:szCs w:val="32"/>
        </w:rPr>
        <w:t>知识产权特色高地</w:t>
      </w:r>
      <w:bookmarkEnd w:id="48"/>
      <w:bookmarkEnd w:id="49"/>
      <w:r>
        <w:rPr>
          <w:rFonts w:eastAsia="仿宋_GB2312"/>
          <w:szCs w:val="32"/>
        </w:rPr>
        <w:t>。</w:t>
      </w:r>
      <w:r>
        <w:rPr>
          <w:rFonts w:eastAsia="仿宋_GB2312"/>
          <w:szCs w:val="32"/>
        </w:rPr>
        <w:t>加大农产品品牌培育力度，做大做强稻米、蔬菜、水产、竹制品、休闲农业等优势特色产业品牌。扩大宜兴红、杨巷大米等地理标志运用能力，推进优势农产品的集体商标和证明商标的申请注册，建立种质资源圃和植物新品种权创新和运营基地，编撰宜兴特色农产品知识产权名录，强化植物新品种权管理</w:t>
      </w:r>
      <w:bookmarkEnd w:id="38"/>
      <w:bookmarkEnd w:id="39"/>
      <w:bookmarkEnd w:id="40"/>
      <w:bookmarkEnd w:id="41"/>
      <w:r>
        <w:rPr>
          <w:rFonts w:eastAsia="仿宋_GB2312"/>
          <w:szCs w:val="32"/>
        </w:rPr>
        <w:t>。〔责任单位：市农业农村局牵头，市知识产权战略实施工作领导小组其他成员单位，各镇（园区、街道）按职责分工负责〕</w:t>
      </w:r>
    </w:p>
    <w:p w:rsidR="00B37599" w:rsidRDefault="00955C08" w:rsidP="00351CAF">
      <w:pPr>
        <w:pStyle w:val="ab"/>
        <w:widowControl w:val="0"/>
        <w:overflowPunct w:val="0"/>
        <w:spacing w:beforeAutospacing="0" w:after="0" w:afterAutospacing="0" w:line="576" w:lineRule="exact"/>
        <w:ind w:firstLine="640"/>
        <w:jc w:val="both"/>
        <w:rPr>
          <w:rFonts w:ascii="黑体" w:eastAsia="黑体" w:hAnsi="黑体" w:cs="黑体"/>
          <w:kern w:val="2"/>
          <w:sz w:val="32"/>
          <w:szCs w:val="32"/>
        </w:rPr>
      </w:pPr>
      <w:r>
        <w:rPr>
          <w:rFonts w:ascii="黑体" w:eastAsia="黑体" w:hAnsi="黑体" w:cs="黑体"/>
          <w:kern w:val="2"/>
          <w:sz w:val="32"/>
          <w:szCs w:val="32"/>
        </w:rPr>
        <w:t>四、保障措施</w:t>
      </w:r>
    </w:p>
    <w:p w:rsidR="00B37599" w:rsidRDefault="00955C08">
      <w:pPr>
        <w:widowControl w:val="0"/>
        <w:overflowPunct w:val="0"/>
        <w:spacing w:after="0" w:line="576" w:lineRule="exact"/>
        <w:ind w:firstLine="640"/>
        <w:rPr>
          <w:rFonts w:ascii="楷体_GB2312" w:eastAsia="楷体_GB2312" w:hAnsi="楷体_GB2312" w:cs="楷体_GB2312"/>
          <w:szCs w:val="32"/>
        </w:rPr>
      </w:pPr>
      <w:r>
        <w:rPr>
          <w:rFonts w:ascii="楷体_GB2312" w:eastAsia="楷体_GB2312" w:hAnsi="楷体_GB2312" w:cs="楷体_GB2312"/>
          <w:szCs w:val="32"/>
        </w:rPr>
        <w:t>（一）加强组织领导</w:t>
      </w:r>
    </w:p>
    <w:p w:rsidR="00B37599" w:rsidRDefault="00955C08">
      <w:pPr>
        <w:widowControl w:val="0"/>
        <w:overflowPunct w:val="0"/>
        <w:spacing w:after="0" w:line="576" w:lineRule="exact"/>
        <w:ind w:firstLine="640"/>
        <w:rPr>
          <w:rFonts w:eastAsia="仿宋_GB2312"/>
          <w:szCs w:val="32"/>
        </w:rPr>
      </w:pPr>
      <w:r>
        <w:rPr>
          <w:rFonts w:eastAsia="仿宋_GB2312"/>
          <w:szCs w:val="32"/>
        </w:rPr>
        <w:t>全面加强党对知识产权保护工作的领导，健全党委统一领导、政府具体负责、职能部门主抓的领导体制和工作机</w:t>
      </w:r>
      <w:r>
        <w:rPr>
          <w:rFonts w:eastAsia="仿宋_GB2312"/>
          <w:szCs w:val="32"/>
        </w:rPr>
        <w:t>制。加强部门协同、上下协作，形成工作合力。强化工作分工和责任落实，织密工作网络，切实推进规划各项任务的实施。</w:t>
      </w:r>
    </w:p>
    <w:p w:rsidR="00B37599" w:rsidRDefault="00955C08">
      <w:pPr>
        <w:widowControl w:val="0"/>
        <w:overflowPunct w:val="0"/>
        <w:spacing w:after="0" w:line="576" w:lineRule="exact"/>
        <w:ind w:firstLine="640"/>
        <w:rPr>
          <w:rFonts w:ascii="楷体_GB2312" w:eastAsia="楷体_GB2312" w:hAnsi="楷体_GB2312" w:cs="楷体_GB2312"/>
          <w:szCs w:val="32"/>
        </w:rPr>
      </w:pPr>
      <w:r>
        <w:rPr>
          <w:rFonts w:ascii="楷体_GB2312" w:eastAsia="楷体_GB2312" w:hAnsi="楷体_GB2312" w:cs="楷体_GB2312"/>
          <w:szCs w:val="32"/>
        </w:rPr>
        <w:t>（二）完善政策供给</w:t>
      </w:r>
    </w:p>
    <w:p w:rsidR="00B37599" w:rsidRDefault="00955C08">
      <w:pPr>
        <w:widowControl w:val="0"/>
        <w:overflowPunct w:val="0"/>
        <w:spacing w:after="0" w:line="576" w:lineRule="exact"/>
        <w:ind w:firstLine="640"/>
        <w:rPr>
          <w:rFonts w:eastAsia="仿宋_GB2312"/>
          <w:szCs w:val="32"/>
        </w:rPr>
      </w:pPr>
      <w:r>
        <w:rPr>
          <w:rFonts w:eastAsia="仿宋_GB2312"/>
          <w:szCs w:val="32"/>
        </w:rPr>
        <w:t>持续加强知识产权政策支持，印发《宜兴市国家知识产权强县建设示范县实施方案》《宜兴市建设江苏省知识产权保护</w:t>
      </w:r>
      <w:r>
        <w:rPr>
          <w:rFonts w:eastAsia="仿宋_GB2312"/>
          <w:szCs w:val="32"/>
        </w:rPr>
        <w:lastRenderedPageBreak/>
        <w:t>示范区建设方案》，建立完善的知识产权政策体系，涵盖创新激励措施、保护工作意见、服务实施细则等。</w:t>
      </w:r>
    </w:p>
    <w:p w:rsidR="00B37599" w:rsidRDefault="00955C08">
      <w:pPr>
        <w:widowControl w:val="0"/>
        <w:overflowPunct w:val="0"/>
        <w:spacing w:after="0" w:line="576" w:lineRule="exact"/>
        <w:ind w:firstLine="640"/>
        <w:rPr>
          <w:rFonts w:ascii="楷体_GB2312" w:eastAsia="楷体_GB2312" w:hAnsi="楷体_GB2312" w:cs="楷体_GB2312"/>
          <w:szCs w:val="32"/>
        </w:rPr>
      </w:pPr>
      <w:r>
        <w:rPr>
          <w:rFonts w:ascii="楷体_GB2312" w:eastAsia="楷体_GB2312" w:hAnsi="楷体_GB2312" w:cs="楷体_GB2312"/>
          <w:szCs w:val="32"/>
        </w:rPr>
        <w:t>（三）加大投入力度</w:t>
      </w:r>
    </w:p>
    <w:p w:rsidR="00B37599" w:rsidRDefault="00955C08">
      <w:pPr>
        <w:widowControl w:val="0"/>
        <w:overflowPunct w:val="0"/>
        <w:spacing w:after="0" w:line="576" w:lineRule="exact"/>
        <w:ind w:firstLine="640"/>
        <w:rPr>
          <w:rFonts w:eastAsia="仿宋_GB2312"/>
          <w:szCs w:val="32"/>
        </w:rPr>
      </w:pPr>
      <w:r>
        <w:rPr>
          <w:rFonts w:eastAsia="仿宋_GB2312"/>
          <w:szCs w:val="32"/>
        </w:rPr>
        <w:t>优化知识产权发展投入保障机制。完善知识产权专项经费机制，优化经费投入架构，完善知识产权奖励制度，加强财政预算与规划实施的衔接。鼓励镇（园区、街道）提高知识产权经费</w:t>
      </w:r>
      <w:r>
        <w:rPr>
          <w:rFonts w:eastAsia="仿宋_GB2312"/>
          <w:szCs w:val="32"/>
        </w:rPr>
        <w:t>投入，引导企业加大知识产权投入，吸引社会组织、各类基金支持知识产权发展。</w:t>
      </w:r>
    </w:p>
    <w:p w:rsidR="00B37599" w:rsidRDefault="00955C08">
      <w:pPr>
        <w:widowControl w:val="0"/>
        <w:overflowPunct w:val="0"/>
        <w:spacing w:after="0" w:line="576" w:lineRule="exact"/>
        <w:ind w:firstLine="640"/>
        <w:rPr>
          <w:rFonts w:ascii="楷体_GB2312" w:eastAsia="楷体_GB2312" w:hAnsi="楷体_GB2312" w:cs="楷体_GB2312"/>
          <w:szCs w:val="32"/>
        </w:rPr>
      </w:pPr>
      <w:r>
        <w:rPr>
          <w:rFonts w:ascii="楷体_GB2312" w:eastAsia="楷体_GB2312" w:hAnsi="楷体_GB2312" w:cs="楷体_GB2312"/>
          <w:szCs w:val="32"/>
        </w:rPr>
        <w:t>（四）强化监督考核</w:t>
      </w:r>
    </w:p>
    <w:p w:rsidR="00B37599" w:rsidRDefault="00955C08">
      <w:pPr>
        <w:pStyle w:val="ab"/>
        <w:widowControl w:val="0"/>
        <w:overflowPunct w:val="0"/>
        <w:spacing w:beforeAutospacing="0" w:after="0" w:afterAutospacing="0" w:line="552" w:lineRule="exact"/>
        <w:ind w:firstLine="640"/>
        <w:jc w:val="both"/>
        <w:rPr>
          <w:rFonts w:eastAsia="仿宋_GB2312"/>
          <w:kern w:val="2"/>
          <w:sz w:val="32"/>
          <w:szCs w:val="32"/>
        </w:rPr>
      </w:pPr>
      <w:r>
        <w:rPr>
          <w:rFonts w:eastAsia="仿宋_GB2312"/>
          <w:sz w:val="32"/>
          <w:szCs w:val="32"/>
        </w:rPr>
        <w:t>健全知识产权考评机制，督促考核</w:t>
      </w:r>
      <w:r>
        <w:rPr>
          <w:rFonts w:eastAsia="仿宋_GB2312"/>
          <w:sz w:val="32"/>
          <w:szCs w:val="32"/>
        </w:rPr>
        <w:t>“</w:t>
      </w:r>
      <w:r>
        <w:rPr>
          <w:rFonts w:eastAsia="仿宋_GB2312"/>
          <w:sz w:val="32"/>
          <w:szCs w:val="32"/>
        </w:rPr>
        <w:t>落地</w:t>
      </w:r>
      <w:r>
        <w:rPr>
          <w:rFonts w:eastAsia="仿宋_GB2312"/>
          <w:sz w:val="32"/>
          <w:szCs w:val="32"/>
        </w:rPr>
        <w:t>”</w:t>
      </w:r>
      <w:r>
        <w:rPr>
          <w:rFonts w:eastAsia="仿宋_GB2312"/>
          <w:sz w:val="32"/>
          <w:szCs w:val="32"/>
        </w:rPr>
        <w:t>，部门分工</w:t>
      </w:r>
      <w:r>
        <w:rPr>
          <w:rFonts w:eastAsia="仿宋_GB2312"/>
          <w:sz w:val="32"/>
          <w:szCs w:val="32"/>
        </w:rPr>
        <w:t>“</w:t>
      </w:r>
      <w:r>
        <w:rPr>
          <w:rFonts w:eastAsia="仿宋_GB2312"/>
          <w:sz w:val="32"/>
          <w:szCs w:val="32"/>
        </w:rPr>
        <w:t>落细</w:t>
      </w:r>
      <w:r>
        <w:rPr>
          <w:rFonts w:eastAsia="仿宋_GB2312"/>
          <w:sz w:val="32"/>
          <w:szCs w:val="32"/>
        </w:rPr>
        <w:t>”</w:t>
      </w:r>
      <w:r>
        <w:rPr>
          <w:rFonts w:eastAsia="仿宋_GB2312"/>
          <w:sz w:val="32"/>
          <w:szCs w:val="32"/>
        </w:rPr>
        <w:t>，属地责任</w:t>
      </w:r>
      <w:r>
        <w:rPr>
          <w:rFonts w:eastAsia="仿宋_GB2312"/>
          <w:sz w:val="32"/>
          <w:szCs w:val="32"/>
        </w:rPr>
        <w:t>“</w:t>
      </w:r>
      <w:r>
        <w:rPr>
          <w:rFonts w:eastAsia="仿宋_GB2312"/>
          <w:sz w:val="32"/>
          <w:szCs w:val="32"/>
        </w:rPr>
        <w:t>落实</w:t>
      </w:r>
      <w:r>
        <w:rPr>
          <w:rFonts w:eastAsia="仿宋_GB2312"/>
          <w:sz w:val="32"/>
          <w:szCs w:val="32"/>
        </w:rPr>
        <w:t>”</w:t>
      </w:r>
      <w:r>
        <w:rPr>
          <w:rFonts w:eastAsia="仿宋_GB2312"/>
          <w:sz w:val="32"/>
          <w:szCs w:val="32"/>
        </w:rPr>
        <w:t>。建立规划实施评估考核机制和考核细则，细化和分解考核指标，定期组织规划实施动态监测、评估和总结，鼓励第三方开展知识产权绩效评估。加强动态监测，建立健全统计机制，建立年度知识产权社会满意度调查制度和知识产权保护水平评估制度。</w:t>
      </w:r>
    </w:p>
    <w:p w:rsidR="00B37599" w:rsidRDefault="00955C08" w:rsidP="00351CAF">
      <w:pPr>
        <w:pStyle w:val="ab"/>
        <w:widowControl w:val="0"/>
        <w:overflowPunct w:val="0"/>
        <w:spacing w:beforeAutospacing="0" w:after="0" w:afterAutospacing="0" w:line="576" w:lineRule="exact"/>
        <w:ind w:firstLine="640"/>
        <w:jc w:val="both"/>
        <w:rPr>
          <w:rFonts w:ascii="黑体" w:eastAsia="黑体" w:hAnsi="黑体" w:cs="黑体"/>
          <w:kern w:val="2"/>
          <w:sz w:val="32"/>
          <w:szCs w:val="32"/>
        </w:rPr>
      </w:pPr>
      <w:r>
        <w:rPr>
          <w:rFonts w:ascii="黑体" w:eastAsia="黑体" w:hAnsi="黑体" w:cs="黑体"/>
          <w:kern w:val="2"/>
          <w:sz w:val="32"/>
          <w:szCs w:val="32"/>
        </w:rPr>
        <w:t>五、时序进度</w:t>
      </w:r>
    </w:p>
    <w:p w:rsidR="00B37599" w:rsidRDefault="00955C08">
      <w:pPr>
        <w:widowControl w:val="0"/>
        <w:overflowPunct w:val="0"/>
        <w:spacing w:after="0" w:line="552" w:lineRule="exact"/>
        <w:ind w:firstLine="640"/>
        <w:rPr>
          <w:rFonts w:eastAsia="楷体_GB2312"/>
          <w:szCs w:val="32"/>
        </w:rPr>
      </w:pPr>
      <w:r>
        <w:rPr>
          <w:rFonts w:eastAsia="楷体_GB2312"/>
          <w:szCs w:val="32"/>
        </w:rPr>
        <w:t>（一）启动部署阶段（</w:t>
      </w:r>
      <w:r>
        <w:rPr>
          <w:rFonts w:eastAsia="楷体_GB2312"/>
          <w:szCs w:val="32"/>
        </w:rPr>
        <w:t>2024</w:t>
      </w:r>
      <w:r>
        <w:rPr>
          <w:rFonts w:eastAsia="楷体_GB2312"/>
          <w:szCs w:val="32"/>
        </w:rPr>
        <w:t>年</w:t>
      </w:r>
      <w:r>
        <w:rPr>
          <w:rFonts w:eastAsia="楷体_GB2312"/>
          <w:szCs w:val="32"/>
        </w:rPr>
        <w:t>1</w:t>
      </w:r>
      <w:r>
        <w:rPr>
          <w:rFonts w:eastAsia="楷体_GB2312"/>
          <w:szCs w:val="32"/>
        </w:rPr>
        <w:t>月</w:t>
      </w:r>
      <w:r>
        <w:rPr>
          <w:rFonts w:eastAsia="楷体_GB2312"/>
          <w:szCs w:val="32"/>
        </w:rPr>
        <w:t>-2024</w:t>
      </w:r>
      <w:r>
        <w:rPr>
          <w:rFonts w:eastAsia="楷体_GB2312"/>
          <w:szCs w:val="32"/>
        </w:rPr>
        <w:t>年</w:t>
      </w:r>
      <w:r>
        <w:rPr>
          <w:rFonts w:eastAsia="楷体_GB2312"/>
          <w:szCs w:val="32"/>
        </w:rPr>
        <w:t>5</w:t>
      </w:r>
      <w:r>
        <w:rPr>
          <w:rFonts w:eastAsia="楷体_GB2312"/>
          <w:szCs w:val="32"/>
        </w:rPr>
        <w:t>月）</w:t>
      </w:r>
    </w:p>
    <w:p w:rsidR="00B37599" w:rsidRDefault="00955C08">
      <w:pPr>
        <w:widowControl w:val="0"/>
        <w:overflowPunct w:val="0"/>
        <w:spacing w:after="0" w:line="552" w:lineRule="exact"/>
        <w:ind w:firstLine="640"/>
        <w:rPr>
          <w:rFonts w:eastAsia="仿宋_GB2312"/>
          <w:szCs w:val="32"/>
        </w:rPr>
      </w:pPr>
      <w:r>
        <w:rPr>
          <w:rFonts w:eastAsia="仿宋_GB2312"/>
          <w:szCs w:val="32"/>
        </w:rPr>
        <w:t>成立宜兴市国家知识产权强县建设示范县创建专项工作机制，印发《宜兴市国家知识产权强县建设示范县工作实施方案》，全面启动国家知识产权强县示范县创建工作。做好各阶段工作落实的宣传报道，营造国家知识产权强县示范县全民创建氛围。</w:t>
      </w:r>
    </w:p>
    <w:p w:rsidR="00B37599" w:rsidRDefault="00955C08">
      <w:pPr>
        <w:widowControl w:val="0"/>
        <w:overflowPunct w:val="0"/>
        <w:spacing w:after="0" w:line="552" w:lineRule="exact"/>
        <w:ind w:firstLine="640"/>
        <w:rPr>
          <w:rFonts w:eastAsia="楷体_GB2312"/>
          <w:szCs w:val="32"/>
        </w:rPr>
      </w:pPr>
      <w:r>
        <w:rPr>
          <w:rFonts w:eastAsia="楷体_GB2312"/>
          <w:szCs w:val="32"/>
        </w:rPr>
        <w:t>（二）推进落实阶段（</w:t>
      </w:r>
      <w:r>
        <w:rPr>
          <w:rFonts w:eastAsia="楷体_GB2312"/>
          <w:szCs w:val="32"/>
        </w:rPr>
        <w:t>2024</w:t>
      </w:r>
      <w:r>
        <w:rPr>
          <w:rFonts w:eastAsia="楷体_GB2312"/>
          <w:szCs w:val="32"/>
        </w:rPr>
        <w:t>年</w:t>
      </w:r>
      <w:r>
        <w:rPr>
          <w:rFonts w:eastAsia="楷体_GB2312"/>
          <w:szCs w:val="32"/>
        </w:rPr>
        <w:t>5</w:t>
      </w:r>
      <w:r>
        <w:rPr>
          <w:rFonts w:eastAsia="楷体_GB2312"/>
          <w:szCs w:val="32"/>
        </w:rPr>
        <w:t>月</w:t>
      </w:r>
      <w:r>
        <w:rPr>
          <w:rFonts w:eastAsia="楷体_GB2312"/>
          <w:szCs w:val="32"/>
        </w:rPr>
        <w:t>-2026</w:t>
      </w:r>
      <w:r>
        <w:rPr>
          <w:rFonts w:eastAsia="楷体_GB2312"/>
          <w:szCs w:val="32"/>
        </w:rPr>
        <w:t>年</w:t>
      </w:r>
      <w:r>
        <w:rPr>
          <w:rFonts w:eastAsia="楷体_GB2312"/>
          <w:szCs w:val="32"/>
        </w:rPr>
        <w:t>8</w:t>
      </w:r>
      <w:r>
        <w:rPr>
          <w:rFonts w:eastAsia="楷体_GB2312"/>
          <w:szCs w:val="32"/>
        </w:rPr>
        <w:t>月）</w:t>
      </w:r>
    </w:p>
    <w:p w:rsidR="00B37599" w:rsidRDefault="00955C08">
      <w:pPr>
        <w:widowControl w:val="0"/>
        <w:overflowPunct w:val="0"/>
        <w:spacing w:after="0" w:line="552" w:lineRule="exact"/>
        <w:ind w:firstLine="640"/>
        <w:rPr>
          <w:rFonts w:eastAsia="仿宋_GB2312"/>
          <w:bCs/>
          <w:szCs w:val="32"/>
        </w:rPr>
      </w:pPr>
      <w:r>
        <w:rPr>
          <w:rFonts w:eastAsia="仿宋_GB2312"/>
          <w:bCs/>
          <w:szCs w:val="32"/>
        </w:rPr>
        <w:t>完善创建</w:t>
      </w:r>
      <w:r>
        <w:rPr>
          <w:rFonts w:eastAsia="仿宋_GB2312"/>
          <w:szCs w:val="32"/>
        </w:rPr>
        <w:t>专项工作机制</w:t>
      </w:r>
      <w:r>
        <w:rPr>
          <w:rFonts w:eastAsia="仿宋_GB2312"/>
          <w:bCs/>
          <w:szCs w:val="32"/>
        </w:rPr>
        <w:t>，建立完备创建工作体系，制定</w:t>
      </w:r>
      <w:r>
        <w:rPr>
          <w:rFonts w:eastAsia="仿宋_GB2312"/>
          <w:szCs w:val="32"/>
        </w:rPr>
        <w:t>国</w:t>
      </w:r>
      <w:r>
        <w:rPr>
          <w:rFonts w:eastAsia="仿宋_GB2312"/>
          <w:szCs w:val="32"/>
        </w:rPr>
        <w:lastRenderedPageBreak/>
        <w:t>家知识产权强县示范县</w:t>
      </w:r>
      <w:r>
        <w:rPr>
          <w:rFonts w:eastAsia="仿宋_GB2312"/>
          <w:bCs/>
          <w:szCs w:val="32"/>
        </w:rPr>
        <w:t>创建工作细则和考核细则，将测评结果纳入全市知识产权工作考核指标。修订和完善知识产权各项政策，优化知识产权管理和服务，高效服务本地企业知识产权发展，提升企业知识产权创造质</w:t>
      </w:r>
      <w:r>
        <w:rPr>
          <w:rFonts w:eastAsia="仿宋_GB2312"/>
          <w:bCs/>
          <w:szCs w:val="32"/>
        </w:rPr>
        <w:t>量，知识产权各项指标均有大幅提升。</w:t>
      </w:r>
    </w:p>
    <w:p w:rsidR="00B37599" w:rsidRDefault="00955C08">
      <w:pPr>
        <w:widowControl w:val="0"/>
        <w:overflowPunct w:val="0"/>
        <w:spacing w:after="0" w:line="552" w:lineRule="exact"/>
        <w:ind w:firstLine="640"/>
        <w:rPr>
          <w:rFonts w:eastAsia="楷体_GB2312"/>
          <w:szCs w:val="32"/>
        </w:rPr>
      </w:pPr>
      <w:r>
        <w:rPr>
          <w:rFonts w:eastAsia="楷体_GB2312"/>
          <w:szCs w:val="32"/>
        </w:rPr>
        <w:t>（三）检查评估阶段（</w:t>
      </w:r>
      <w:r>
        <w:rPr>
          <w:rFonts w:eastAsia="楷体_GB2312"/>
          <w:szCs w:val="32"/>
        </w:rPr>
        <w:t>2026</w:t>
      </w:r>
      <w:r>
        <w:rPr>
          <w:rFonts w:eastAsia="楷体_GB2312"/>
          <w:szCs w:val="32"/>
        </w:rPr>
        <w:t>年</w:t>
      </w:r>
      <w:r>
        <w:rPr>
          <w:rFonts w:eastAsia="楷体_GB2312"/>
          <w:szCs w:val="32"/>
        </w:rPr>
        <w:t>8</w:t>
      </w:r>
      <w:r>
        <w:rPr>
          <w:rFonts w:eastAsia="楷体_GB2312"/>
          <w:szCs w:val="32"/>
        </w:rPr>
        <w:t>月</w:t>
      </w:r>
      <w:r>
        <w:rPr>
          <w:rFonts w:eastAsia="楷体_GB2312"/>
          <w:szCs w:val="32"/>
        </w:rPr>
        <w:t>-2026</w:t>
      </w:r>
      <w:r>
        <w:rPr>
          <w:rFonts w:eastAsia="楷体_GB2312"/>
          <w:szCs w:val="32"/>
        </w:rPr>
        <w:t>年</w:t>
      </w:r>
      <w:r>
        <w:rPr>
          <w:rFonts w:eastAsia="楷体_GB2312"/>
          <w:szCs w:val="32"/>
        </w:rPr>
        <w:t>11</w:t>
      </w:r>
      <w:r>
        <w:rPr>
          <w:rFonts w:eastAsia="楷体_GB2312"/>
          <w:szCs w:val="32"/>
        </w:rPr>
        <w:t>月）</w:t>
      </w:r>
    </w:p>
    <w:p w:rsidR="00B37599" w:rsidRDefault="00955C08">
      <w:pPr>
        <w:widowControl w:val="0"/>
        <w:overflowPunct w:val="0"/>
        <w:spacing w:after="0" w:line="552" w:lineRule="exact"/>
        <w:ind w:firstLine="640"/>
        <w:rPr>
          <w:rFonts w:eastAsia="仿宋_GB2312"/>
          <w:szCs w:val="32"/>
        </w:rPr>
      </w:pPr>
      <w:r>
        <w:rPr>
          <w:rFonts w:eastAsia="仿宋_GB2312"/>
          <w:szCs w:val="32"/>
        </w:rPr>
        <w:t>对照国家知识产权强县示范县创建工作方案，对创建工作进行全面检查和评估并形成评估报告。根据评估报告，召开会议研究部署，分解责任、落实整改，并形成完备的整改报告。</w:t>
      </w:r>
    </w:p>
    <w:p w:rsidR="00B37599" w:rsidRDefault="00955C08">
      <w:pPr>
        <w:widowControl w:val="0"/>
        <w:overflowPunct w:val="0"/>
        <w:spacing w:after="0" w:line="552" w:lineRule="exact"/>
        <w:ind w:firstLine="640"/>
        <w:rPr>
          <w:rFonts w:eastAsia="楷体_GB2312"/>
          <w:szCs w:val="32"/>
        </w:rPr>
      </w:pPr>
      <w:r>
        <w:rPr>
          <w:rFonts w:eastAsia="楷体_GB2312"/>
          <w:szCs w:val="32"/>
        </w:rPr>
        <w:t>（四）迎接验收阶段（</w:t>
      </w:r>
      <w:r>
        <w:rPr>
          <w:rFonts w:eastAsia="楷体_GB2312"/>
          <w:szCs w:val="32"/>
        </w:rPr>
        <w:t>2026</w:t>
      </w:r>
      <w:r>
        <w:rPr>
          <w:rFonts w:eastAsia="楷体_GB2312"/>
          <w:szCs w:val="32"/>
        </w:rPr>
        <w:t>年</w:t>
      </w:r>
      <w:r>
        <w:rPr>
          <w:rFonts w:eastAsia="楷体_GB2312"/>
          <w:szCs w:val="32"/>
        </w:rPr>
        <w:t>12</w:t>
      </w:r>
      <w:r>
        <w:rPr>
          <w:rFonts w:eastAsia="楷体_GB2312"/>
          <w:szCs w:val="32"/>
        </w:rPr>
        <w:t>月）</w:t>
      </w:r>
    </w:p>
    <w:p w:rsidR="00B37599" w:rsidRDefault="00955C08">
      <w:pPr>
        <w:pStyle w:val="ab"/>
        <w:widowControl w:val="0"/>
        <w:overflowPunct w:val="0"/>
        <w:spacing w:beforeAutospacing="0" w:after="0" w:afterAutospacing="0" w:line="552" w:lineRule="exact"/>
        <w:ind w:firstLine="640"/>
        <w:jc w:val="both"/>
        <w:rPr>
          <w:rFonts w:eastAsia="仿宋_GB2312"/>
          <w:sz w:val="32"/>
          <w:szCs w:val="32"/>
        </w:rPr>
      </w:pPr>
      <w:r>
        <w:rPr>
          <w:rFonts w:eastAsia="仿宋_GB2312"/>
          <w:sz w:val="32"/>
          <w:szCs w:val="32"/>
        </w:rPr>
        <w:t>汇总创建工作启动以来全市知识产权工作成效、典型案例、目标完成佐证材料等内容，形成完备的创建工作书面材料，报请国家局、省局进行验收。</w:t>
      </w:r>
    </w:p>
    <w:p w:rsidR="00B37599" w:rsidRDefault="00B37599">
      <w:pPr>
        <w:pStyle w:val="ab"/>
        <w:widowControl w:val="0"/>
        <w:overflowPunct w:val="0"/>
        <w:spacing w:beforeAutospacing="0" w:after="0" w:afterAutospacing="0" w:line="552" w:lineRule="exact"/>
        <w:ind w:firstLine="640"/>
        <w:jc w:val="both"/>
        <w:rPr>
          <w:rFonts w:eastAsia="仿宋_GB2312"/>
          <w:sz w:val="32"/>
          <w:szCs w:val="32"/>
        </w:rPr>
      </w:pPr>
    </w:p>
    <w:bookmarkEnd w:id="1"/>
    <w:p w:rsidR="00B37599" w:rsidRDefault="00B37599" w:rsidP="00351CAF">
      <w:pPr>
        <w:ind w:firstLine="640"/>
        <w:rPr>
          <w:rFonts w:eastAsia="仿宋_GB2312"/>
        </w:rPr>
      </w:pPr>
    </w:p>
    <w:p w:rsidR="00B37599" w:rsidRDefault="00B37599" w:rsidP="00351CAF">
      <w:pPr>
        <w:ind w:firstLine="640"/>
        <w:rPr>
          <w:rFonts w:eastAsia="仿宋_GB2312"/>
        </w:rPr>
      </w:pPr>
    </w:p>
    <w:p w:rsidR="00B37599" w:rsidRDefault="00B37599" w:rsidP="00351CAF">
      <w:pPr>
        <w:ind w:firstLine="640"/>
        <w:rPr>
          <w:rFonts w:eastAsia="仿宋_GB2312"/>
        </w:rPr>
      </w:pPr>
    </w:p>
    <w:sectPr w:rsidR="00B37599" w:rsidSect="00B37599">
      <w:headerReference w:type="even" r:id="rId8"/>
      <w:headerReference w:type="default" r:id="rId9"/>
      <w:footerReference w:type="even" r:id="rId10"/>
      <w:footerReference w:type="default" r:id="rId11"/>
      <w:headerReference w:type="first" r:id="rId12"/>
      <w:footerReference w:type="first" r:id="rId13"/>
      <w:pgSz w:w="11906" w:h="16838"/>
      <w:pgMar w:top="1701" w:right="1587" w:bottom="1701"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5C08" w:rsidRDefault="00955C08">
      <w:pPr>
        <w:spacing w:line="240" w:lineRule="auto"/>
        <w:ind w:firstLine="640"/>
      </w:pPr>
      <w:r>
        <w:separator/>
      </w:r>
    </w:p>
  </w:endnote>
  <w:endnote w:type="continuationSeparator" w:id="0">
    <w:p w:rsidR="00955C08" w:rsidRDefault="00955C08">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方正小标宋_GBK">
    <w:altName w:val="Arial Unicode MS"/>
    <w:charset w:val="86"/>
    <w:family w:val="script"/>
    <w:pitch w:val="default"/>
    <w:sig w:usb0="00000000"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方正楷体_GBK">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7599" w:rsidRDefault="00B37599">
    <w:pPr>
      <w:pStyle w:val="a7"/>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7599" w:rsidRDefault="00B37599">
    <w:pPr>
      <w:pStyle w:val="a7"/>
      <w:spacing w:after="0" w:line="240" w:lineRule="auto"/>
      <w:ind w:firstLineChars="0" w:firstLine="0"/>
    </w:pPr>
    <w:r>
      <w:pict>
        <v:shapetype id="_x0000_t202" coordsize="21600,21600" o:spt="202" path="m,l,21600r21600,l21600,xe">
          <v:stroke joinstyle="miter"/>
          <v:path gradientshapeok="t" o:connecttype="rect"/>
        </v:shapetype>
        <v:shape id="_x0000_s2049"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filled="f" stroked="f" strokeweight=".5pt">
          <v:textbox style="mso-fit-shape-to-text:t" inset="0,0,0,0">
            <w:txbxContent>
              <w:p w:rsidR="00B37599" w:rsidRDefault="00B37599" w:rsidP="00351CAF">
                <w:pPr>
                  <w:pStyle w:val="a7"/>
                  <w:ind w:firstLine="360"/>
                </w:pPr>
                <w:r>
                  <w:fldChar w:fldCharType="begin"/>
                </w:r>
                <w:r w:rsidR="00955C08">
                  <w:instrText xml:space="preserve"> PAGE  \* MERGEFORMAT </w:instrText>
                </w:r>
                <w:r>
                  <w:fldChar w:fldCharType="separate"/>
                </w:r>
                <w:r w:rsidR="00351CAF">
                  <w:rPr>
                    <w:noProof/>
                  </w:rPr>
                  <w:t>1</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7599" w:rsidRDefault="00B37599">
    <w:pPr>
      <w:pStyle w:val="a7"/>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5C08" w:rsidRDefault="00955C08">
      <w:pPr>
        <w:spacing w:after="0" w:line="240" w:lineRule="auto"/>
        <w:ind w:firstLine="640"/>
      </w:pPr>
      <w:r>
        <w:separator/>
      </w:r>
    </w:p>
  </w:footnote>
  <w:footnote w:type="continuationSeparator" w:id="0">
    <w:p w:rsidR="00955C08" w:rsidRDefault="00955C08">
      <w:pPr>
        <w:spacing w:after="0" w:line="240" w:lineRule="auto"/>
        <w:ind w:firstLine="640"/>
      </w:pPr>
      <w:r>
        <w:continuationSeparator/>
      </w:r>
    </w:p>
  </w:footnote>
  <w:footnote w:id="1">
    <w:p w:rsidR="00B37599" w:rsidRDefault="00955C08">
      <w:pPr>
        <w:pStyle w:val="aa"/>
        <w:spacing w:after="0" w:line="240" w:lineRule="auto"/>
        <w:ind w:firstLine="360"/>
        <w:rPr>
          <w:rFonts w:eastAsia="仿宋_GB2312"/>
        </w:rPr>
      </w:pPr>
      <w:r>
        <w:rPr>
          <w:rStyle w:val="ae"/>
          <w:rFonts w:eastAsia="仿宋_GB2312"/>
        </w:rPr>
        <w:footnoteRef/>
      </w:r>
      <w:r>
        <w:rPr>
          <w:rFonts w:eastAsia="仿宋_GB2312"/>
        </w:rPr>
        <w:t>根据《长江三角洲区域一体化发展规划纲要》，在苏浙沪交汇区域的</w:t>
      </w:r>
      <w:r>
        <w:rPr>
          <w:rFonts w:eastAsia="仿宋_GB2312"/>
        </w:rPr>
        <w:t>“</w:t>
      </w:r>
      <w:r>
        <w:rPr>
          <w:rFonts w:eastAsia="仿宋_GB2312"/>
        </w:rPr>
        <w:t>一地六县</w:t>
      </w:r>
      <w:r>
        <w:rPr>
          <w:rFonts w:eastAsia="仿宋_GB2312"/>
        </w:rPr>
        <w:t>”</w:t>
      </w:r>
      <w:r>
        <w:rPr>
          <w:rFonts w:eastAsia="仿宋_GB2312"/>
        </w:rPr>
        <w:t>即上海市白茅岭农场、江苏省溧阳市、宜兴市，安徽省广德市、郎溪县，浙江省长兴县、安吉县。</w:t>
      </w:r>
    </w:p>
  </w:footnote>
  <w:footnote w:id="2">
    <w:p w:rsidR="00B37599" w:rsidRDefault="00955C08">
      <w:pPr>
        <w:pStyle w:val="aa"/>
        <w:spacing w:after="0" w:line="240" w:lineRule="auto"/>
        <w:ind w:firstLine="360"/>
        <w:rPr>
          <w:rFonts w:eastAsia="仿宋_GB2312"/>
        </w:rPr>
      </w:pPr>
      <w:r>
        <w:rPr>
          <w:rStyle w:val="ae"/>
          <w:rFonts w:eastAsia="仿宋_GB2312"/>
        </w:rPr>
        <w:footnoteRef/>
      </w:r>
      <w:r>
        <w:rPr>
          <w:rFonts w:eastAsia="仿宋_GB2312"/>
        </w:rPr>
        <w:t>“</w:t>
      </w:r>
      <w:r>
        <w:rPr>
          <w:rFonts w:eastAsia="仿宋_GB2312"/>
        </w:rPr>
        <w:t>一湾</w:t>
      </w:r>
      <w:r>
        <w:rPr>
          <w:rFonts w:eastAsia="仿宋_GB2312"/>
        </w:rPr>
        <w:t>”</w:t>
      </w:r>
      <w:r>
        <w:rPr>
          <w:rFonts w:eastAsia="仿宋_GB2312"/>
        </w:rPr>
        <w:t>是指</w:t>
      </w:r>
      <w:r>
        <w:rPr>
          <w:rFonts w:eastAsia="仿宋_GB2312"/>
        </w:rPr>
        <w:t>“</w:t>
      </w:r>
      <w:r>
        <w:rPr>
          <w:rFonts w:eastAsia="仿宋_GB2312"/>
        </w:rPr>
        <w:t>太湖湾</w:t>
      </w:r>
      <w:r>
        <w:rPr>
          <w:rFonts w:eastAsia="仿宋_GB2312"/>
        </w:rPr>
        <w:t>”</w:t>
      </w:r>
      <w:r>
        <w:rPr>
          <w:rFonts w:eastAsia="仿宋_GB2312"/>
        </w:rPr>
        <w:t>，</w:t>
      </w:r>
      <w:r>
        <w:rPr>
          <w:rFonts w:eastAsia="仿宋_GB2312"/>
        </w:rPr>
        <w:t>“</w:t>
      </w:r>
      <w:r>
        <w:rPr>
          <w:rFonts w:eastAsia="仿宋_GB2312"/>
        </w:rPr>
        <w:t>三带</w:t>
      </w:r>
      <w:r>
        <w:rPr>
          <w:rFonts w:eastAsia="仿宋_GB2312"/>
        </w:rPr>
        <w:t>”</w:t>
      </w:r>
      <w:r>
        <w:rPr>
          <w:rFonts w:eastAsia="仿宋_GB2312"/>
        </w:rPr>
        <w:t>是指</w:t>
      </w:r>
      <w:r>
        <w:rPr>
          <w:rFonts w:eastAsia="仿宋_GB2312"/>
        </w:rPr>
        <w:t>“</w:t>
      </w:r>
      <w:r>
        <w:rPr>
          <w:rFonts w:eastAsia="仿宋_GB2312"/>
        </w:rPr>
        <w:t>沿江发展带</w:t>
      </w:r>
      <w:r>
        <w:rPr>
          <w:rFonts w:eastAsia="仿宋_GB2312"/>
        </w:rPr>
        <w:t>”“</w:t>
      </w:r>
      <w:r>
        <w:rPr>
          <w:rFonts w:eastAsia="仿宋_GB2312"/>
        </w:rPr>
        <w:t>沪宁发展带</w:t>
      </w:r>
      <w:r>
        <w:rPr>
          <w:rFonts w:eastAsia="仿宋_GB2312"/>
        </w:rPr>
        <w:t>”“</w:t>
      </w:r>
      <w:r>
        <w:rPr>
          <w:rFonts w:eastAsia="仿宋_GB2312"/>
        </w:rPr>
        <w:t>宁杭发展带</w:t>
      </w:r>
      <w:r>
        <w:rPr>
          <w:rFonts w:eastAsia="仿宋_GB2312"/>
        </w:rPr>
        <w:t>”</w:t>
      </w:r>
      <w:r>
        <w:rPr>
          <w:rFonts w:eastAsia="仿宋_GB2312"/>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7599" w:rsidRDefault="00B37599">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7599" w:rsidRDefault="00B37599">
    <w:pPr>
      <w:pStyle w:val="a8"/>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7599" w:rsidRDefault="00B37599">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E79D35"/>
    <w:multiLevelType w:val="singleLevel"/>
    <w:tmpl w:val="63E79D35"/>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ThlNzcxYmNkMTVmZWVkNDMzZWI1NmViYjQyNGI5ZjAifQ=="/>
    <w:docVar w:name="KSO_WPS_MARK_KEY" w:val="e10e93c1-6233-40c3-9cc0-4ead8257ab96"/>
  </w:docVars>
  <w:rsids>
    <w:rsidRoot w:val="77465233"/>
    <w:rsid w:val="00351CAF"/>
    <w:rsid w:val="00955C08"/>
    <w:rsid w:val="00B37599"/>
    <w:rsid w:val="17D054B0"/>
    <w:rsid w:val="23411593"/>
    <w:rsid w:val="35F944C4"/>
    <w:rsid w:val="465915C6"/>
    <w:rsid w:val="542D1CD6"/>
    <w:rsid w:val="69DA2043"/>
    <w:rsid w:val="6EB3022A"/>
    <w:rsid w:val="774652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footnote reference"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B37599"/>
    <w:pPr>
      <w:spacing w:after="160" w:line="579" w:lineRule="exact"/>
      <w:ind w:firstLineChars="200" w:firstLine="200"/>
      <w:jc w:val="both"/>
    </w:pPr>
    <w:rPr>
      <w:rFonts w:ascii="Times New Roman" w:eastAsia="方正仿宋_GBK" w:hAnsi="Times New Roman" w:cs="Times New Roman"/>
      <w:sz w:val="32"/>
      <w:szCs w:val="22"/>
    </w:rPr>
  </w:style>
  <w:style w:type="paragraph" w:styleId="1">
    <w:name w:val="heading 1"/>
    <w:basedOn w:val="a"/>
    <w:next w:val="a"/>
    <w:link w:val="1Char"/>
    <w:qFormat/>
    <w:rsid w:val="00B37599"/>
    <w:pPr>
      <w:keepNext/>
      <w:keepLines/>
      <w:spacing w:before="480" w:after="80"/>
      <w:outlineLvl w:val="0"/>
    </w:pPr>
    <w:rPr>
      <w:rFonts w:ascii="Cambria" w:eastAsia="宋体" w:hAnsi="Cambria" w:cs="宋体"/>
      <w:color w:val="365F91"/>
      <w:sz w:val="48"/>
      <w:szCs w:val="48"/>
    </w:rPr>
  </w:style>
  <w:style w:type="paragraph" w:styleId="2">
    <w:name w:val="heading 2"/>
    <w:basedOn w:val="a"/>
    <w:next w:val="a"/>
    <w:link w:val="2Char"/>
    <w:semiHidden/>
    <w:unhideWhenUsed/>
    <w:qFormat/>
    <w:rsid w:val="00B37599"/>
    <w:pPr>
      <w:keepNext/>
      <w:keepLines/>
      <w:spacing w:before="160" w:after="80"/>
      <w:outlineLvl w:val="1"/>
    </w:pPr>
    <w:rPr>
      <w:rFonts w:ascii="Cambria" w:eastAsia="宋体" w:hAnsi="Cambria" w:cs="宋体"/>
      <w:color w:val="365F91"/>
      <w:sz w:val="40"/>
      <w:szCs w:val="40"/>
    </w:rPr>
  </w:style>
  <w:style w:type="paragraph" w:styleId="3">
    <w:name w:val="heading 3"/>
    <w:basedOn w:val="a"/>
    <w:next w:val="a"/>
    <w:link w:val="3Char"/>
    <w:semiHidden/>
    <w:unhideWhenUsed/>
    <w:qFormat/>
    <w:rsid w:val="00B37599"/>
    <w:pPr>
      <w:keepNext/>
      <w:keepLines/>
      <w:spacing w:before="160" w:after="80"/>
      <w:outlineLvl w:val="2"/>
    </w:pPr>
    <w:rPr>
      <w:rFonts w:ascii="Cambria" w:eastAsia="宋体" w:hAnsi="Cambria" w:cs="宋体"/>
      <w:color w:val="365F91"/>
      <w:szCs w:val="32"/>
    </w:rPr>
  </w:style>
  <w:style w:type="paragraph" w:styleId="4">
    <w:name w:val="heading 4"/>
    <w:basedOn w:val="a"/>
    <w:next w:val="a"/>
    <w:link w:val="4Char"/>
    <w:semiHidden/>
    <w:unhideWhenUsed/>
    <w:qFormat/>
    <w:rsid w:val="00B37599"/>
    <w:pPr>
      <w:keepNext/>
      <w:keepLines/>
      <w:spacing w:before="80" w:after="40"/>
      <w:outlineLvl w:val="3"/>
    </w:pPr>
    <w:rPr>
      <w:rFonts w:ascii="Calibri" w:eastAsia="宋体" w:hAnsi="Calibri" w:cs="宋体"/>
      <w:color w:val="365F91"/>
      <w:sz w:val="28"/>
      <w:szCs w:val="28"/>
    </w:rPr>
  </w:style>
  <w:style w:type="paragraph" w:styleId="5">
    <w:name w:val="heading 5"/>
    <w:basedOn w:val="a"/>
    <w:next w:val="a"/>
    <w:link w:val="5Char"/>
    <w:semiHidden/>
    <w:unhideWhenUsed/>
    <w:qFormat/>
    <w:rsid w:val="00B37599"/>
    <w:pPr>
      <w:keepNext/>
      <w:keepLines/>
      <w:spacing w:before="80" w:after="40"/>
      <w:outlineLvl w:val="4"/>
    </w:pPr>
    <w:rPr>
      <w:rFonts w:ascii="Calibri" w:eastAsia="宋体" w:hAnsi="Calibri" w:cs="宋体"/>
      <w:color w:val="365F91"/>
      <w:sz w:val="24"/>
      <w:szCs w:val="24"/>
    </w:rPr>
  </w:style>
  <w:style w:type="paragraph" w:styleId="6">
    <w:name w:val="heading 6"/>
    <w:basedOn w:val="a"/>
    <w:next w:val="a"/>
    <w:link w:val="6Char"/>
    <w:semiHidden/>
    <w:unhideWhenUsed/>
    <w:qFormat/>
    <w:rsid w:val="00B37599"/>
    <w:pPr>
      <w:keepNext/>
      <w:keepLines/>
      <w:spacing w:before="40"/>
      <w:outlineLvl w:val="5"/>
    </w:pPr>
    <w:rPr>
      <w:rFonts w:ascii="Calibri" w:eastAsia="宋体" w:hAnsi="Calibri" w:cs="宋体"/>
      <w:b/>
      <w:bCs/>
      <w:color w:val="365F91"/>
    </w:rPr>
  </w:style>
  <w:style w:type="paragraph" w:styleId="7">
    <w:name w:val="heading 7"/>
    <w:basedOn w:val="a"/>
    <w:next w:val="a"/>
    <w:link w:val="7Char"/>
    <w:semiHidden/>
    <w:unhideWhenUsed/>
    <w:qFormat/>
    <w:rsid w:val="00B37599"/>
    <w:pPr>
      <w:keepNext/>
      <w:keepLines/>
      <w:spacing w:before="40"/>
      <w:outlineLvl w:val="6"/>
    </w:pPr>
    <w:rPr>
      <w:rFonts w:ascii="Calibri" w:eastAsia="宋体" w:hAnsi="Calibri" w:cs="宋体"/>
      <w:b/>
      <w:bCs/>
      <w:color w:val="595959"/>
    </w:rPr>
  </w:style>
  <w:style w:type="paragraph" w:styleId="8">
    <w:name w:val="heading 8"/>
    <w:basedOn w:val="a"/>
    <w:next w:val="a"/>
    <w:link w:val="8Char"/>
    <w:semiHidden/>
    <w:unhideWhenUsed/>
    <w:qFormat/>
    <w:rsid w:val="00B37599"/>
    <w:pPr>
      <w:keepNext/>
      <w:keepLines/>
      <w:outlineLvl w:val="7"/>
    </w:pPr>
    <w:rPr>
      <w:rFonts w:ascii="Calibri" w:eastAsia="宋体" w:hAnsi="Calibri" w:cs="宋体"/>
      <w:color w:val="595959"/>
    </w:rPr>
  </w:style>
  <w:style w:type="paragraph" w:styleId="9">
    <w:name w:val="heading 9"/>
    <w:basedOn w:val="a"/>
    <w:next w:val="a"/>
    <w:link w:val="9Char"/>
    <w:semiHidden/>
    <w:unhideWhenUsed/>
    <w:qFormat/>
    <w:rsid w:val="00B37599"/>
    <w:pPr>
      <w:keepNext/>
      <w:keepLines/>
      <w:outlineLvl w:val="8"/>
    </w:pPr>
    <w:rPr>
      <w:rFonts w:ascii="Calibri" w:eastAsia="宋体" w:hAnsi="Calibri" w:cs="宋体"/>
      <w:color w:val="595959"/>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B37599"/>
    <w:pPr>
      <w:ind w:firstLineChars="0" w:firstLine="0"/>
      <w:jc w:val="center"/>
    </w:pPr>
    <w:rPr>
      <w:sz w:val="44"/>
      <w:szCs w:val="44"/>
    </w:rPr>
  </w:style>
  <w:style w:type="paragraph" w:styleId="a4">
    <w:name w:val="annotation text"/>
    <w:basedOn w:val="a"/>
    <w:qFormat/>
    <w:rsid w:val="00B37599"/>
    <w:pPr>
      <w:jc w:val="left"/>
    </w:pPr>
    <w:rPr>
      <w:rFonts w:ascii="Calibri" w:eastAsia="宋体" w:hAnsi="Calibri"/>
    </w:rPr>
  </w:style>
  <w:style w:type="paragraph" w:styleId="a5">
    <w:name w:val="Body Text"/>
    <w:basedOn w:val="a"/>
    <w:link w:val="Char"/>
    <w:qFormat/>
    <w:rsid w:val="00B37599"/>
    <w:pPr>
      <w:widowControl w:val="0"/>
      <w:spacing w:after="120"/>
    </w:pPr>
    <w:rPr>
      <w:rFonts w:ascii="Calibri" w:eastAsia="宋体" w:hAnsi="Calibri"/>
      <w:kern w:val="2"/>
      <w:szCs w:val="21"/>
    </w:rPr>
  </w:style>
  <w:style w:type="paragraph" w:styleId="a6">
    <w:name w:val="Date"/>
    <w:basedOn w:val="a"/>
    <w:next w:val="a"/>
    <w:link w:val="Char0"/>
    <w:rsid w:val="00B37599"/>
    <w:pPr>
      <w:ind w:leftChars="2500" w:left="100"/>
    </w:pPr>
  </w:style>
  <w:style w:type="paragraph" w:styleId="a7">
    <w:name w:val="footer"/>
    <w:basedOn w:val="a"/>
    <w:link w:val="Char1"/>
    <w:qFormat/>
    <w:rsid w:val="00B37599"/>
    <w:pPr>
      <w:tabs>
        <w:tab w:val="center" w:pos="4153"/>
        <w:tab w:val="right" w:pos="8306"/>
      </w:tabs>
      <w:snapToGrid w:val="0"/>
      <w:spacing w:line="240" w:lineRule="atLeast"/>
      <w:jc w:val="left"/>
    </w:pPr>
    <w:rPr>
      <w:sz w:val="18"/>
      <w:szCs w:val="18"/>
    </w:rPr>
  </w:style>
  <w:style w:type="paragraph" w:styleId="a8">
    <w:name w:val="header"/>
    <w:basedOn w:val="a"/>
    <w:link w:val="Char2"/>
    <w:qFormat/>
    <w:rsid w:val="00B37599"/>
    <w:pPr>
      <w:tabs>
        <w:tab w:val="center" w:pos="4153"/>
        <w:tab w:val="right" w:pos="8306"/>
      </w:tabs>
      <w:snapToGrid w:val="0"/>
      <w:spacing w:line="240" w:lineRule="atLeast"/>
      <w:jc w:val="center"/>
    </w:pPr>
    <w:rPr>
      <w:sz w:val="18"/>
      <w:szCs w:val="18"/>
    </w:rPr>
  </w:style>
  <w:style w:type="paragraph" w:styleId="a9">
    <w:name w:val="Subtitle"/>
    <w:basedOn w:val="a"/>
    <w:next w:val="a"/>
    <w:link w:val="Char3"/>
    <w:qFormat/>
    <w:rsid w:val="00B37599"/>
    <w:pPr>
      <w:jc w:val="center"/>
    </w:pPr>
    <w:rPr>
      <w:rFonts w:ascii="Cambria" w:eastAsia="宋体" w:hAnsi="Cambria" w:cs="宋体"/>
      <w:color w:val="595959"/>
      <w:spacing w:val="15"/>
      <w:sz w:val="28"/>
      <w:szCs w:val="28"/>
    </w:rPr>
  </w:style>
  <w:style w:type="paragraph" w:styleId="aa">
    <w:name w:val="footnote text"/>
    <w:basedOn w:val="a"/>
    <w:qFormat/>
    <w:rsid w:val="00B37599"/>
    <w:pPr>
      <w:snapToGrid w:val="0"/>
      <w:jc w:val="left"/>
    </w:pPr>
    <w:rPr>
      <w:sz w:val="18"/>
      <w:szCs w:val="18"/>
    </w:rPr>
  </w:style>
  <w:style w:type="paragraph" w:styleId="ab">
    <w:name w:val="Normal (Web)"/>
    <w:basedOn w:val="a"/>
    <w:qFormat/>
    <w:rsid w:val="00B37599"/>
    <w:pPr>
      <w:spacing w:beforeAutospacing="1" w:afterAutospacing="1"/>
      <w:jc w:val="left"/>
    </w:pPr>
    <w:rPr>
      <w:sz w:val="24"/>
    </w:rPr>
  </w:style>
  <w:style w:type="paragraph" w:styleId="ac">
    <w:name w:val="Title"/>
    <w:basedOn w:val="a"/>
    <w:next w:val="a"/>
    <w:link w:val="Char4"/>
    <w:qFormat/>
    <w:rsid w:val="00B37599"/>
    <w:pPr>
      <w:spacing w:before="240" w:after="60" w:line="640" w:lineRule="exact"/>
      <w:ind w:firstLineChars="0" w:firstLine="0"/>
      <w:jc w:val="center"/>
      <w:outlineLvl w:val="0"/>
    </w:pPr>
    <w:rPr>
      <w:rFonts w:eastAsia="方正小标宋_GBK" w:cs="宋体"/>
      <w:bCs/>
      <w:sz w:val="44"/>
      <w:szCs w:val="32"/>
    </w:rPr>
  </w:style>
  <w:style w:type="character" w:styleId="ad">
    <w:name w:val="page number"/>
    <w:basedOn w:val="a1"/>
    <w:qFormat/>
    <w:rsid w:val="00B37599"/>
    <w:rPr>
      <w:rFonts w:ascii="Times New Roman" w:eastAsia="宋体" w:hAnsi="Times New Roman" w:cs="Times New Roman"/>
    </w:rPr>
  </w:style>
  <w:style w:type="character" w:styleId="ae">
    <w:name w:val="footnote reference"/>
    <w:qFormat/>
    <w:rsid w:val="00B37599"/>
    <w:rPr>
      <w:rFonts w:ascii="Times New Roman" w:eastAsia="宋体" w:hAnsi="Times New Roman" w:cs="Times New Roman"/>
      <w:vertAlign w:val="superscript"/>
    </w:rPr>
  </w:style>
  <w:style w:type="character" w:customStyle="1" w:styleId="Char2">
    <w:name w:val="页眉 Char"/>
    <w:basedOn w:val="a1"/>
    <w:link w:val="a8"/>
    <w:uiPriority w:val="99"/>
    <w:qFormat/>
    <w:rsid w:val="00B37599"/>
    <w:rPr>
      <w:rFonts w:ascii="Times New Roman" w:eastAsia="宋体" w:hAnsi="Times New Roman" w:cs="Times New Roman"/>
      <w:sz w:val="18"/>
      <w:szCs w:val="18"/>
    </w:rPr>
  </w:style>
  <w:style w:type="character" w:customStyle="1" w:styleId="Char4">
    <w:name w:val="标题 Char"/>
    <w:basedOn w:val="a1"/>
    <w:link w:val="ac"/>
    <w:uiPriority w:val="10"/>
    <w:qFormat/>
    <w:rsid w:val="00B37599"/>
    <w:rPr>
      <w:rFonts w:ascii="Times New Roman" w:eastAsia="方正小标宋_GBK" w:hAnsi="Times New Roman" w:cs="宋体"/>
      <w:bCs/>
      <w:sz w:val="44"/>
      <w:szCs w:val="32"/>
    </w:rPr>
  </w:style>
  <w:style w:type="character" w:customStyle="1" w:styleId="1Char">
    <w:name w:val="标题 1 Char"/>
    <w:basedOn w:val="a1"/>
    <w:link w:val="1"/>
    <w:uiPriority w:val="9"/>
    <w:qFormat/>
    <w:rsid w:val="00B37599"/>
    <w:rPr>
      <w:rFonts w:ascii="Cambria" w:eastAsia="宋体" w:hAnsi="Cambria" w:cs="宋体"/>
      <w:color w:val="365F91"/>
      <w:sz w:val="48"/>
      <w:szCs w:val="48"/>
    </w:rPr>
  </w:style>
  <w:style w:type="character" w:customStyle="1" w:styleId="2Char">
    <w:name w:val="标题 2 Char"/>
    <w:basedOn w:val="a1"/>
    <w:link w:val="2"/>
    <w:uiPriority w:val="9"/>
    <w:qFormat/>
    <w:rsid w:val="00B37599"/>
    <w:rPr>
      <w:rFonts w:ascii="Cambria" w:eastAsia="宋体" w:hAnsi="Cambria" w:cs="宋体"/>
      <w:color w:val="365F91"/>
      <w:sz w:val="40"/>
      <w:szCs w:val="40"/>
    </w:rPr>
  </w:style>
  <w:style w:type="character" w:customStyle="1" w:styleId="3Char">
    <w:name w:val="标题 3 Char"/>
    <w:basedOn w:val="a1"/>
    <w:link w:val="3"/>
    <w:uiPriority w:val="9"/>
    <w:qFormat/>
    <w:rsid w:val="00B37599"/>
    <w:rPr>
      <w:rFonts w:ascii="Cambria" w:eastAsia="宋体" w:hAnsi="Cambria" w:cs="宋体"/>
      <w:color w:val="365F91"/>
      <w:szCs w:val="32"/>
    </w:rPr>
  </w:style>
  <w:style w:type="character" w:customStyle="1" w:styleId="4Char">
    <w:name w:val="标题 4 Char"/>
    <w:basedOn w:val="a1"/>
    <w:link w:val="4"/>
    <w:uiPriority w:val="9"/>
    <w:qFormat/>
    <w:rsid w:val="00B37599"/>
    <w:rPr>
      <w:rFonts w:ascii="Calibri" w:eastAsia="宋体" w:hAnsi="Calibri" w:cs="宋体"/>
      <w:color w:val="365F91"/>
      <w:sz w:val="28"/>
      <w:szCs w:val="28"/>
    </w:rPr>
  </w:style>
  <w:style w:type="character" w:customStyle="1" w:styleId="5Char">
    <w:name w:val="标题 5 Char"/>
    <w:basedOn w:val="a1"/>
    <w:link w:val="5"/>
    <w:uiPriority w:val="9"/>
    <w:qFormat/>
    <w:rsid w:val="00B37599"/>
    <w:rPr>
      <w:rFonts w:ascii="Calibri" w:eastAsia="宋体" w:hAnsi="Calibri" w:cs="宋体"/>
      <w:color w:val="365F91"/>
      <w:sz w:val="24"/>
      <w:szCs w:val="24"/>
    </w:rPr>
  </w:style>
  <w:style w:type="character" w:customStyle="1" w:styleId="6Char">
    <w:name w:val="标题 6 Char"/>
    <w:basedOn w:val="a1"/>
    <w:link w:val="6"/>
    <w:uiPriority w:val="9"/>
    <w:qFormat/>
    <w:rsid w:val="00B37599"/>
    <w:rPr>
      <w:rFonts w:ascii="Calibri" w:eastAsia="宋体" w:hAnsi="Calibri" w:cs="宋体"/>
      <w:b/>
      <w:bCs/>
      <w:color w:val="365F91"/>
    </w:rPr>
  </w:style>
  <w:style w:type="character" w:customStyle="1" w:styleId="7Char">
    <w:name w:val="标题 7 Char"/>
    <w:basedOn w:val="a1"/>
    <w:link w:val="7"/>
    <w:uiPriority w:val="9"/>
    <w:qFormat/>
    <w:rsid w:val="00B37599"/>
    <w:rPr>
      <w:rFonts w:ascii="Calibri" w:eastAsia="宋体" w:hAnsi="Calibri" w:cs="宋体"/>
      <w:b/>
      <w:bCs/>
      <w:color w:val="595959"/>
    </w:rPr>
  </w:style>
  <w:style w:type="character" w:customStyle="1" w:styleId="8Char">
    <w:name w:val="标题 8 Char"/>
    <w:basedOn w:val="a1"/>
    <w:link w:val="8"/>
    <w:uiPriority w:val="9"/>
    <w:qFormat/>
    <w:rsid w:val="00B37599"/>
    <w:rPr>
      <w:rFonts w:ascii="Calibri" w:eastAsia="宋体" w:hAnsi="Calibri" w:cs="宋体"/>
      <w:color w:val="595959"/>
    </w:rPr>
  </w:style>
  <w:style w:type="character" w:customStyle="1" w:styleId="9Char">
    <w:name w:val="标题 9 Char"/>
    <w:basedOn w:val="a1"/>
    <w:link w:val="9"/>
    <w:uiPriority w:val="9"/>
    <w:qFormat/>
    <w:rsid w:val="00B37599"/>
    <w:rPr>
      <w:rFonts w:ascii="Calibri" w:eastAsia="宋体" w:hAnsi="Calibri" w:cs="宋体"/>
      <w:color w:val="595959"/>
    </w:rPr>
  </w:style>
  <w:style w:type="character" w:customStyle="1" w:styleId="Char3">
    <w:name w:val="副标题 Char"/>
    <w:basedOn w:val="a1"/>
    <w:link w:val="a9"/>
    <w:uiPriority w:val="11"/>
    <w:qFormat/>
    <w:rsid w:val="00B37599"/>
    <w:rPr>
      <w:rFonts w:ascii="Cambria" w:eastAsia="宋体" w:hAnsi="Cambria" w:cs="宋体"/>
      <w:color w:val="595959"/>
      <w:spacing w:val="15"/>
      <w:sz w:val="28"/>
      <w:szCs w:val="28"/>
    </w:rPr>
  </w:style>
  <w:style w:type="paragraph" w:customStyle="1" w:styleId="10">
    <w:name w:val="引用1"/>
    <w:basedOn w:val="a"/>
    <w:next w:val="a"/>
    <w:link w:val="Char5"/>
    <w:uiPriority w:val="29"/>
    <w:qFormat/>
    <w:rsid w:val="00B37599"/>
    <w:pPr>
      <w:spacing w:before="160"/>
      <w:jc w:val="center"/>
    </w:pPr>
    <w:rPr>
      <w:i/>
      <w:iCs/>
      <w:color w:val="404040"/>
    </w:rPr>
  </w:style>
  <w:style w:type="character" w:customStyle="1" w:styleId="Char5">
    <w:name w:val="引用 Char"/>
    <w:basedOn w:val="a1"/>
    <w:link w:val="10"/>
    <w:uiPriority w:val="29"/>
    <w:qFormat/>
    <w:rsid w:val="00B37599"/>
    <w:rPr>
      <w:rFonts w:ascii="Times New Roman" w:eastAsia="宋体" w:hAnsi="Times New Roman" w:cs="Times New Roman"/>
      <w:i/>
      <w:iCs/>
      <w:color w:val="404040"/>
    </w:rPr>
  </w:style>
  <w:style w:type="paragraph" w:customStyle="1" w:styleId="11">
    <w:name w:val="列出段落1"/>
    <w:basedOn w:val="a"/>
    <w:uiPriority w:val="34"/>
    <w:qFormat/>
    <w:rsid w:val="00B37599"/>
    <w:pPr>
      <w:ind w:left="720"/>
      <w:contextualSpacing/>
    </w:pPr>
  </w:style>
  <w:style w:type="character" w:customStyle="1" w:styleId="12">
    <w:name w:val="明显强调1"/>
    <w:basedOn w:val="a1"/>
    <w:uiPriority w:val="21"/>
    <w:qFormat/>
    <w:rsid w:val="00B37599"/>
    <w:rPr>
      <w:rFonts w:ascii="Times New Roman" w:eastAsia="宋体" w:hAnsi="Times New Roman" w:cs="Times New Roman"/>
      <w:i/>
      <w:iCs/>
      <w:color w:val="365F91"/>
    </w:rPr>
  </w:style>
  <w:style w:type="paragraph" w:customStyle="1" w:styleId="13">
    <w:name w:val="明显引用1"/>
    <w:basedOn w:val="a"/>
    <w:next w:val="a"/>
    <w:link w:val="Char6"/>
    <w:uiPriority w:val="30"/>
    <w:qFormat/>
    <w:rsid w:val="00B37599"/>
    <w:pPr>
      <w:pBdr>
        <w:top w:val="single" w:sz="4" w:space="10" w:color="365F91"/>
        <w:bottom w:val="single" w:sz="4" w:space="10" w:color="365F91"/>
      </w:pBdr>
      <w:spacing w:before="360" w:after="360"/>
      <w:ind w:left="864" w:right="864"/>
      <w:jc w:val="center"/>
    </w:pPr>
    <w:rPr>
      <w:i/>
      <w:iCs/>
      <w:color w:val="365F91"/>
    </w:rPr>
  </w:style>
  <w:style w:type="character" w:customStyle="1" w:styleId="Char6">
    <w:name w:val="明显引用 Char"/>
    <w:basedOn w:val="a1"/>
    <w:link w:val="13"/>
    <w:uiPriority w:val="30"/>
    <w:qFormat/>
    <w:rsid w:val="00B37599"/>
    <w:rPr>
      <w:rFonts w:ascii="Times New Roman" w:eastAsia="宋体" w:hAnsi="Times New Roman" w:cs="Times New Roman"/>
      <w:i/>
      <w:iCs/>
      <w:color w:val="365F91"/>
    </w:rPr>
  </w:style>
  <w:style w:type="character" w:customStyle="1" w:styleId="14">
    <w:name w:val="明显参考1"/>
    <w:basedOn w:val="a1"/>
    <w:uiPriority w:val="32"/>
    <w:qFormat/>
    <w:rsid w:val="00B37599"/>
    <w:rPr>
      <w:rFonts w:ascii="Times New Roman" w:eastAsia="宋体" w:hAnsi="Times New Roman" w:cs="Times New Roman"/>
      <w:b/>
      <w:bCs/>
      <w:smallCaps/>
      <w:color w:val="365F91"/>
      <w:spacing w:val="5"/>
    </w:rPr>
  </w:style>
  <w:style w:type="character" w:customStyle="1" w:styleId="Char1">
    <w:name w:val="页脚 Char"/>
    <w:basedOn w:val="a1"/>
    <w:link w:val="a7"/>
    <w:uiPriority w:val="99"/>
    <w:qFormat/>
    <w:rsid w:val="00B37599"/>
    <w:rPr>
      <w:rFonts w:ascii="Times New Roman" w:eastAsia="宋体" w:hAnsi="Times New Roman" w:cs="Times New Roman"/>
      <w:sz w:val="18"/>
      <w:szCs w:val="18"/>
    </w:rPr>
  </w:style>
  <w:style w:type="paragraph" w:customStyle="1" w:styleId="15">
    <w:name w:val="无间隔1"/>
    <w:uiPriority w:val="1"/>
    <w:qFormat/>
    <w:rsid w:val="00B37599"/>
    <w:pPr>
      <w:adjustRightInd w:val="0"/>
      <w:snapToGrid w:val="0"/>
      <w:spacing w:after="160" w:line="278" w:lineRule="auto"/>
    </w:pPr>
    <w:rPr>
      <w:rFonts w:ascii="Tahoma" w:eastAsia="宋体" w:hAnsi="Tahoma" w:cs="Times New Roman"/>
      <w:sz w:val="22"/>
      <w:szCs w:val="22"/>
    </w:rPr>
  </w:style>
  <w:style w:type="character" w:customStyle="1" w:styleId="Char">
    <w:name w:val="正文文本 Char"/>
    <w:basedOn w:val="a1"/>
    <w:link w:val="a5"/>
    <w:qFormat/>
    <w:rsid w:val="00B37599"/>
    <w:rPr>
      <w:rFonts w:ascii="Calibri" w:eastAsia="宋体" w:hAnsi="Calibri" w:cs="Times New Roman"/>
      <w:kern w:val="2"/>
      <w:szCs w:val="21"/>
    </w:rPr>
  </w:style>
  <w:style w:type="character" w:customStyle="1" w:styleId="Char0">
    <w:name w:val="日期 Char"/>
    <w:basedOn w:val="a1"/>
    <w:link w:val="a6"/>
    <w:qFormat/>
    <w:rsid w:val="00B37599"/>
    <w:rPr>
      <w:rFonts w:ascii="Times New Roman" w:eastAsia="宋体" w:hAnsi="Times New Roman"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16</Pages>
  <Words>1292</Words>
  <Characters>7367</Characters>
  <Application>Microsoft Office Word</Application>
  <DocSecurity>0</DocSecurity>
  <Lines>61</Lines>
  <Paragraphs>17</Paragraphs>
  <ScaleCrop>false</ScaleCrop>
  <Company>Microsoft</Company>
  <LinksUpToDate>false</LinksUpToDate>
  <CharactersWithSpaces>8642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蒋超</dc:creator>
  <cp:lastModifiedBy>微软用户</cp:lastModifiedBy>
  <cp:revision>2</cp:revision>
  <cp:lastPrinted>2024-06-12T03:51:00Z</cp:lastPrinted>
  <dcterms:created xsi:type="dcterms:W3CDTF">2022-06-14T05:26:00Z</dcterms:created>
  <dcterms:modified xsi:type="dcterms:W3CDTF">2024-06-13T07:25:00Z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DDFA8AE99BE54E1495CCE36F8D71D7E8_13</vt:lpwstr>
  </property>
  <property fmtid="{D5CDD505-2E9C-101B-9397-08002B2CF9AE}" pid="4" name="MSIP_Label_defa4170-0d19-0005-0004-bc88714345d2_Enabled">
    <vt:lpwstr>true</vt:lpwstr>
  </property>
  <property fmtid="{D5CDD505-2E9C-101B-9397-08002B2CF9AE}" pid="5" name="MSIP_Label_defa4170-0d19-0005-0004-bc88714345d2_SetDate">
    <vt:lpwstr>2024-04-23T01:09:09Z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007be481-04af-4507-8c58-5e82ebbfa29a</vt:lpwstr>
  </property>
  <property fmtid="{D5CDD505-2E9C-101B-9397-08002B2CF9AE}" pid="9" name="MSIP_Label_defa4170-0d19-0005-0004-bc88714345d2_ActionId">
    <vt:lpwstr>3f6d25f4-6386-421c-adab-470f2f072522</vt:lpwstr>
  </property>
  <property fmtid="{D5CDD505-2E9C-101B-9397-08002B2CF9AE}" pid="10" name="MSIP_Label_defa4170-0d19-0005-0004-bc88714345d2_ContentBits">
    <vt:lpwstr>0</vt:lpwstr>
  </property>
</Properties>
</file>